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5" w:rsidRDefault="00991985" w:rsidP="00991985">
      <w:pPr>
        <w:jc w:val="both"/>
        <w:rPr>
          <w:szCs w:val="24"/>
        </w:rPr>
      </w:pPr>
    </w:p>
    <w:p w:rsidR="00991985" w:rsidRPr="00F16F18" w:rsidRDefault="00991985" w:rsidP="00991985">
      <w:pPr>
        <w:jc w:val="both"/>
        <w:rPr>
          <w:rFonts w:ascii="Arial" w:hAnsi="Arial" w:cs="Arial"/>
          <w:sz w:val="32"/>
          <w:szCs w:val="32"/>
        </w:rPr>
      </w:pPr>
      <w:r w:rsidRPr="00F16F18">
        <w:rPr>
          <w:rFonts w:ascii="Arial" w:hAnsi="Arial" w:cs="Arial"/>
          <w:sz w:val="32"/>
          <w:szCs w:val="32"/>
        </w:rPr>
        <w:t>Písemná příprava</w:t>
      </w:r>
    </w:p>
    <w:p w:rsidR="00991985" w:rsidRPr="00103909" w:rsidRDefault="00991985" w:rsidP="00991985">
      <w:pPr>
        <w:jc w:val="both"/>
        <w:rPr>
          <w:rFonts w:ascii="Arial" w:hAnsi="Arial" w:cs="Arial"/>
          <w:sz w:val="48"/>
          <w:szCs w:val="48"/>
        </w:rPr>
      </w:pPr>
    </w:p>
    <w:p w:rsidR="00991985" w:rsidRPr="00F16F18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Název předmětu:</w:t>
      </w:r>
      <w:r>
        <w:rPr>
          <w:rFonts w:ascii="Arial" w:hAnsi="Arial" w:cs="Arial"/>
          <w:b/>
          <w:sz w:val="24"/>
          <w:szCs w:val="24"/>
        </w:rPr>
        <w:t xml:space="preserve"> Základy práva (ZP)</w:t>
      </w:r>
    </w:p>
    <w:p w:rsidR="00991985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Garant předmětu:</w:t>
      </w:r>
      <w:r>
        <w:rPr>
          <w:rFonts w:ascii="Arial" w:hAnsi="Arial" w:cs="Arial"/>
          <w:b/>
          <w:sz w:val="24"/>
          <w:szCs w:val="24"/>
        </w:rPr>
        <w:t xml:space="preserve"> doc. JUDr. PhDr. Ivo Svoboda, Ph.D.</w:t>
      </w:r>
    </w:p>
    <w:p w:rsidR="00991985" w:rsidRPr="00F16F18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Zpracoval: Mgr. Tomáš Zbořil</w:t>
      </w:r>
    </w:p>
    <w:p w:rsidR="00991985" w:rsidRPr="00F87B5F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  <w:r w:rsidRPr="00F87B5F">
        <w:rPr>
          <w:rFonts w:ascii="Arial" w:hAnsi="Arial" w:cs="Arial"/>
          <w:b/>
          <w:sz w:val="24"/>
          <w:szCs w:val="24"/>
        </w:rPr>
        <w:t>Téma:</w:t>
      </w:r>
      <w:r w:rsidRPr="00F87B5F">
        <w:rPr>
          <w:rFonts w:ascii="Arial" w:eastAsia="Times New Roman" w:hAnsi="Arial" w:cs="Arial"/>
          <w:color w:val="000000"/>
          <w:kern w:val="24"/>
          <w:sz w:val="24"/>
          <w:szCs w:val="24"/>
          <w:lang w:eastAsia="cs-CZ"/>
        </w:rPr>
        <w:t xml:space="preserve"> </w:t>
      </w:r>
      <w:r w:rsidRPr="00F87B5F">
        <w:rPr>
          <w:rFonts w:ascii="Arial" w:hAnsi="Arial" w:cs="Arial"/>
          <w:b/>
          <w:sz w:val="24"/>
          <w:szCs w:val="24"/>
        </w:rPr>
        <w:t>ZP_T</w:t>
      </w:r>
      <w:r>
        <w:rPr>
          <w:rFonts w:ascii="Arial" w:hAnsi="Arial" w:cs="Arial"/>
          <w:b/>
          <w:sz w:val="24"/>
          <w:szCs w:val="24"/>
        </w:rPr>
        <w:t>16 Právní úprava služebního poměru vojáka z povolání.</w:t>
      </w:r>
    </w:p>
    <w:p w:rsidR="00991985" w:rsidRPr="00F16F18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</w:p>
    <w:p w:rsidR="00991985" w:rsidRPr="00F16F18" w:rsidRDefault="00991985" w:rsidP="00991985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Vzdělávací cíl:</w:t>
      </w:r>
      <w:r>
        <w:rPr>
          <w:rFonts w:ascii="Arial" w:hAnsi="Arial" w:cs="Arial"/>
          <w:b/>
          <w:sz w:val="24"/>
          <w:szCs w:val="24"/>
        </w:rPr>
        <w:t xml:space="preserve"> Prohloubit znalosti studentek a studentů v problematice služebního poměru. Dále seznámit studentky a studenty se základními pravidly pro vznik, změnu a zánik služebního poměru.</w:t>
      </w:r>
    </w:p>
    <w:p w:rsidR="00991985" w:rsidRPr="0046513F" w:rsidRDefault="00991985" w:rsidP="00991985">
      <w:pPr>
        <w:jc w:val="both"/>
        <w:rPr>
          <w:rFonts w:ascii="Arial" w:hAnsi="Arial" w:cs="Arial"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1985" w:rsidRDefault="00991985" w:rsidP="0099198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Služební poměr</w:t>
      </w:r>
    </w:p>
    <w:p w:rsidR="00991985" w:rsidRDefault="00991985" w:rsidP="0099198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Výkon a doba služby </w:t>
      </w:r>
    </w:p>
    <w:p w:rsidR="00991985" w:rsidRDefault="00991985" w:rsidP="0099198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Omezení základních práv a svobod</w:t>
      </w:r>
    </w:p>
    <w:p w:rsidR="0060365B" w:rsidRDefault="0060365B" w:rsidP="00991985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Povinnosti vojáka a nadřízeného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Služební poměr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Služební poměr je právním poměrem státně zaměstnaneckým, </w:t>
      </w:r>
      <w:r w:rsidRPr="00991985">
        <w:rPr>
          <w:rFonts w:ascii="Arial" w:hAnsi="Arial" w:cs="Arial"/>
          <w:b/>
          <w:bCs/>
          <w:sz w:val="24"/>
          <w:szCs w:val="24"/>
        </w:rPr>
        <w:t>veřejnoprávním</w:t>
      </w:r>
      <w:r w:rsidRPr="00991985">
        <w:rPr>
          <w:rFonts w:ascii="Arial" w:hAnsi="Arial" w:cs="Arial"/>
          <w:sz w:val="24"/>
          <w:szCs w:val="24"/>
        </w:rPr>
        <w:t xml:space="preserve">. Vzniká </w:t>
      </w:r>
      <w:r w:rsidRPr="00991985">
        <w:rPr>
          <w:rFonts w:ascii="Arial" w:hAnsi="Arial" w:cs="Arial"/>
          <w:b/>
          <w:bCs/>
          <w:sz w:val="24"/>
          <w:szCs w:val="24"/>
        </w:rPr>
        <w:t>jednostranným</w:t>
      </w:r>
      <w:r w:rsidRPr="00991985">
        <w:rPr>
          <w:rFonts w:ascii="Arial" w:hAnsi="Arial" w:cs="Arial"/>
          <w:sz w:val="24"/>
          <w:szCs w:val="24"/>
        </w:rPr>
        <w:t xml:space="preserve">, mocenským aktem služebního orgánu. Odlišuje se od poměru pracovního, který je poměrem </w:t>
      </w:r>
      <w:r w:rsidRPr="00991985">
        <w:rPr>
          <w:rFonts w:ascii="Arial" w:hAnsi="Arial" w:cs="Arial"/>
          <w:b/>
          <w:bCs/>
          <w:sz w:val="24"/>
          <w:szCs w:val="24"/>
        </w:rPr>
        <w:t>soukromoprávním</w:t>
      </w:r>
      <w:r w:rsidRPr="00991985">
        <w:rPr>
          <w:rFonts w:ascii="Arial" w:hAnsi="Arial" w:cs="Arial"/>
          <w:sz w:val="24"/>
          <w:szCs w:val="24"/>
        </w:rPr>
        <w:t xml:space="preserve">, jehož účastníci mají rovné postavení. </w:t>
      </w:r>
    </w:p>
    <w:p w:rsidR="00991985" w:rsidRDefault="00991985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právní úprava je v zákoně č. 221/1999 Sb., o vojácích z povolání v platném znění. K provedení zákona jsou vydávány vyhlášky a nařízení vlády.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lastRenderedPageBreak/>
        <w:t>Služební poměr může vzniknout jen na žádost uchazeče.</w:t>
      </w:r>
      <w:r w:rsidR="00991985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 xml:space="preserve">Do služebního poměru může být povolán občan ČR starší 18 let, který splňuje podmínky </w:t>
      </w:r>
      <w:proofErr w:type="gramStart"/>
      <w:r w:rsidRPr="00991985">
        <w:rPr>
          <w:rFonts w:ascii="Arial" w:hAnsi="Arial" w:cs="Arial"/>
          <w:sz w:val="24"/>
          <w:szCs w:val="24"/>
        </w:rPr>
        <w:t xml:space="preserve">stanovené v § 3 </w:t>
      </w:r>
      <w:r w:rsidR="00991985">
        <w:rPr>
          <w:rFonts w:ascii="Arial" w:hAnsi="Arial" w:cs="Arial"/>
          <w:sz w:val="24"/>
          <w:szCs w:val="24"/>
        </w:rPr>
        <w:t>z</w:t>
      </w:r>
      <w:r w:rsidRPr="00991985">
        <w:rPr>
          <w:rFonts w:ascii="Arial" w:hAnsi="Arial" w:cs="Arial"/>
          <w:sz w:val="24"/>
          <w:szCs w:val="24"/>
        </w:rPr>
        <w:t>ákona</w:t>
      </w:r>
      <w:proofErr w:type="gramEnd"/>
      <w:r w:rsidRPr="00991985">
        <w:rPr>
          <w:rFonts w:ascii="Arial" w:hAnsi="Arial" w:cs="Arial"/>
          <w:sz w:val="24"/>
          <w:szCs w:val="24"/>
        </w:rPr>
        <w:t xml:space="preserve"> o vojácích z povolání.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Náležitosti rozhodnutí o povolání do SP jsou stanoveny v § 5.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Výkon služby</w:t>
      </w:r>
      <w:r w:rsidR="00991985">
        <w:rPr>
          <w:rFonts w:ascii="Arial" w:hAnsi="Arial" w:cs="Arial"/>
          <w:sz w:val="24"/>
          <w:szCs w:val="24"/>
        </w:rPr>
        <w:t xml:space="preserve"> znamená p</w:t>
      </w:r>
      <w:r w:rsidRPr="00991985">
        <w:rPr>
          <w:rFonts w:ascii="Arial" w:hAnsi="Arial" w:cs="Arial"/>
          <w:sz w:val="24"/>
          <w:szCs w:val="24"/>
        </w:rPr>
        <w:t>lnění služebních povinností podle služebního zařazení a podle rozkazů nadřízené</w:t>
      </w:r>
      <w:r w:rsidR="00991985">
        <w:rPr>
          <w:rFonts w:ascii="Arial" w:hAnsi="Arial" w:cs="Arial"/>
          <w:sz w:val="24"/>
          <w:szCs w:val="24"/>
        </w:rPr>
        <w:t>ho. Za výkon služby je považována t</w:t>
      </w:r>
      <w:r w:rsidRPr="00991985">
        <w:rPr>
          <w:rFonts w:ascii="Arial" w:hAnsi="Arial" w:cs="Arial"/>
          <w:sz w:val="24"/>
          <w:szCs w:val="24"/>
        </w:rPr>
        <w:t xml:space="preserve">aké činnost </w:t>
      </w:r>
      <w:r w:rsidR="00991985">
        <w:rPr>
          <w:rFonts w:ascii="Arial" w:hAnsi="Arial" w:cs="Arial"/>
          <w:sz w:val="24"/>
          <w:szCs w:val="24"/>
        </w:rPr>
        <w:t xml:space="preserve">konaná </w:t>
      </w:r>
      <w:r w:rsidRPr="00991985">
        <w:rPr>
          <w:rFonts w:ascii="Arial" w:hAnsi="Arial" w:cs="Arial"/>
          <w:sz w:val="24"/>
          <w:szCs w:val="24"/>
        </w:rPr>
        <w:t>z vlastní iniciativy, není-li proti rozkazu</w:t>
      </w:r>
      <w:r w:rsidR="00991985">
        <w:rPr>
          <w:rFonts w:ascii="Arial" w:hAnsi="Arial" w:cs="Arial"/>
          <w:sz w:val="24"/>
          <w:szCs w:val="24"/>
        </w:rPr>
        <w:t xml:space="preserve">. </w:t>
      </w:r>
      <w:r w:rsidRPr="00991985">
        <w:rPr>
          <w:rFonts w:ascii="Arial" w:hAnsi="Arial" w:cs="Arial"/>
          <w:sz w:val="24"/>
          <w:szCs w:val="24"/>
        </w:rPr>
        <w:t xml:space="preserve">Analogie s výkonem práce podle </w:t>
      </w:r>
      <w:r w:rsidR="00991985">
        <w:rPr>
          <w:rFonts w:ascii="Arial" w:hAnsi="Arial" w:cs="Arial"/>
          <w:sz w:val="24"/>
          <w:szCs w:val="24"/>
        </w:rPr>
        <w:t>zákoníku práce.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Základní týdenní doba služby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Činí 42,5 hod.,</w:t>
      </w:r>
      <w:r w:rsidR="00991985">
        <w:rPr>
          <w:rFonts w:ascii="Arial" w:hAnsi="Arial" w:cs="Arial"/>
          <w:sz w:val="24"/>
          <w:szCs w:val="24"/>
        </w:rPr>
        <w:t xml:space="preserve"> m</w:t>
      </w:r>
      <w:r w:rsidRPr="00991985">
        <w:rPr>
          <w:rFonts w:ascii="Arial" w:hAnsi="Arial" w:cs="Arial"/>
          <w:sz w:val="24"/>
          <w:szCs w:val="24"/>
        </w:rPr>
        <w:t>ůže být stanovena i kratší, na žádost</w:t>
      </w:r>
      <w:r w:rsidR="00991985">
        <w:rPr>
          <w:rFonts w:ascii="Arial" w:hAnsi="Arial" w:cs="Arial"/>
          <w:sz w:val="24"/>
          <w:szCs w:val="24"/>
        </w:rPr>
        <w:t xml:space="preserve"> vojáka</w:t>
      </w:r>
      <w:r w:rsidRPr="00991985">
        <w:rPr>
          <w:rFonts w:ascii="Arial" w:hAnsi="Arial" w:cs="Arial"/>
          <w:sz w:val="24"/>
          <w:szCs w:val="24"/>
        </w:rPr>
        <w:t>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Kratší služba</w:t>
      </w:r>
      <w:r w:rsidR="00991985">
        <w:rPr>
          <w:rFonts w:ascii="Arial" w:hAnsi="Arial" w:cs="Arial"/>
          <w:sz w:val="24"/>
          <w:szCs w:val="24"/>
        </w:rPr>
        <w:t xml:space="preserve"> znamená i</w:t>
      </w:r>
      <w:r w:rsidRPr="00991985">
        <w:rPr>
          <w:rFonts w:ascii="Arial" w:hAnsi="Arial" w:cs="Arial"/>
          <w:sz w:val="24"/>
          <w:szCs w:val="24"/>
        </w:rPr>
        <w:t xml:space="preserve"> menší plat,</w:t>
      </w:r>
      <w:r w:rsidR="00CF08E2">
        <w:rPr>
          <w:rFonts w:ascii="Arial" w:hAnsi="Arial" w:cs="Arial"/>
          <w:sz w:val="24"/>
          <w:szCs w:val="24"/>
        </w:rPr>
        <w:t xml:space="preserve"> poměrné krácení.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Pro služební úraz – 30 hod.</w:t>
      </w:r>
      <w:r w:rsidR="009E07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F08E2">
        <w:rPr>
          <w:rFonts w:ascii="Arial" w:hAnsi="Arial" w:cs="Arial"/>
          <w:sz w:val="24"/>
          <w:szCs w:val="24"/>
        </w:rPr>
        <w:t xml:space="preserve">týdně, nejvýše po dobu </w:t>
      </w:r>
      <w:r w:rsidRPr="00991985">
        <w:rPr>
          <w:rFonts w:ascii="Arial" w:hAnsi="Arial" w:cs="Arial"/>
          <w:sz w:val="24"/>
          <w:szCs w:val="24"/>
        </w:rPr>
        <w:t>6 měsíc</w:t>
      </w:r>
      <w:r w:rsidR="00CF08E2">
        <w:rPr>
          <w:rFonts w:ascii="Arial" w:hAnsi="Arial" w:cs="Arial"/>
          <w:sz w:val="24"/>
          <w:szCs w:val="24"/>
        </w:rPr>
        <w:t>ů</w:t>
      </w:r>
      <w:r w:rsidRPr="00991985">
        <w:rPr>
          <w:rFonts w:ascii="Arial" w:hAnsi="Arial" w:cs="Arial"/>
          <w:sz w:val="24"/>
          <w:szCs w:val="24"/>
        </w:rPr>
        <w:t>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Rozvržení </w:t>
      </w:r>
      <w:r w:rsidR="00CF08E2">
        <w:rPr>
          <w:rFonts w:ascii="Arial" w:hAnsi="Arial" w:cs="Arial"/>
          <w:sz w:val="24"/>
          <w:szCs w:val="24"/>
        </w:rPr>
        <w:t xml:space="preserve">doby služby </w:t>
      </w:r>
      <w:r w:rsidRPr="00991985">
        <w:rPr>
          <w:rFonts w:ascii="Arial" w:hAnsi="Arial" w:cs="Arial"/>
          <w:sz w:val="24"/>
          <w:szCs w:val="24"/>
        </w:rPr>
        <w:t>stanoví služební orgán – denní řád</w:t>
      </w:r>
      <w:r w:rsidR="00CF08E2">
        <w:rPr>
          <w:rFonts w:ascii="Arial" w:hAnsi="Arial" w:cs="Arial"/>
          <w:sz w:val="24"/>
          <w:szCs w:val="24"/>
        </w:rPr>
        <w:t xml:space="preserve"> nebo organizační rozkaz</w:t>
      </w:r>
      <w:r w:rsidRPr="00991985">
        <w:rPr>
          <w:rFonts w:ascii="Arial" w:hAnsi="Arial" w:cs="Arial"/>
          <w:sz w:val="24"/>
          <w:szCs w:val="24"/>
        </w:rPr>
        <w:t>, rovnoměrně na 5 dnů, doba odpočinku</w:t>
      </w:r>
      <w:r w:rsidR="00CF08E2">
        <w:rPr>
          <w:rFonts w:ascii="Arial" w:hAnsi="Arial" w:cs="Arial"/>
          <w:sz w:val="24"/>
          <w:szCs w:val="24"/>
        </w:rPr>
        <w:t xml:space="preserve"> o</w:t>
      </w:r>
      <w:r w:rsidRPr="00991985">
        <w:rPr>
          <w:rFonts w:ascii="Arial" w:hAnsi="Arial" w:cs="Arial"/>
          <w:sz w:val="24"/>
          <w:szCs w:val="24"/>
        </w:rPr>
        <w:t xml:space="preserve"> víkend</w:t>
      </w:r>
      <w:r w:rsidR="00CF08E2">
        <w:rPr>
          <w:rFonts w:ascii="Arial" w:hAnsi="Arial" w:cs="Arial"/>
          <w:sz w:val="24"/>
          <w:szCs w:val="24"/>
        </w:rPr>
        <w:t>u.</w:t>
      </w:r>
    </w:p>
    <w:p w:rsidR="009A0B5A" w:rsidRPr="00991985" w:rsidRDefault="00CF08E2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Nepřetržitá s</w:t>
      </w:r>
      <w:r w:rsidR="0060365B" w:rsidRPr="00991985">
        <w:rPr>
          <w:rFonts w:ascii="Arial" w:hAnsi="Arial" w:cs="Arial"/>
          <w:sz w:val="24"/>
          <w:szCs w:val="24"/>
        </w:rPr>
        <w:t xml:space="preserve">lužba </w:t>
      </w:r>
      <w:r>
        <w:rPr>
          <w:rFonts w:ascii="Arial" w:hAnsi="Arial" w:cs="Arial"/>
          <w:sz w:val="24"/>
          <w:szCs w:val="24"/>
        </w:rPr>
        <w:t xml:space="preserve">může být </w:t>
      </w:r>
      <w:r w:rsidR="0060365B" w:rsidRPr="00991985">
        <w:rPr>
          <w:rFonts w:ascii="Arial" w:hAnsi="Arial" w:cs="Arial"/>
          <w:sz w:val="24"/>
          <w:szCs w:val="24"/>
        </w:rPr>
        <w:t>nejvýše 30 hod.</w:t>
      </w:r>
      <w:r>
        <w:rPr>
          <w:rFonts w:ascii="Arial" w:hAnsi="Arial" w:cs="Arial"/>
          <w:sz w:val="24"/>
          <w:szCs w:val="24"/>
        </w:rPr>
        <w:t xml:space="preserve"> V zákoníku práce nejvýše 12 hod.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Přestávky</w:t>
      </w:r>
    </w:p>
    <w:p w:rsidR="009A0B5A" w:rsidRPr="00991985" w:rsidRDefault="0060365B" w:rsidP="00CF08E2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Po 5 hodinách – 30 minut na jídlo a oddech,</w:t>
      </w:r>
      <w:r w:rsidR="00CF08E2">
        <w:rPr>
          <w:rFonts w:ascii="Arial" w:hAnsi="Arial" w:cs="Arial"/>
          <w:sz w:val="24"/>
          <w:szCs w:val="24"/>
        </w:rPr>
        <w:t xml:space="preserve"> která se z</w:t>
      </w:r>
      <w:r w:rsidRPr="00991985">
        <w:rPr>
          <w:rFonts w:ascii="Arial" w:hAnsi="Arial" w:cs="Arial"/>
          <w:sz w:val="24"/>
          <w:szCs w:val="24"/>
        </w:rPr>
        <w:t>apočítává do zákl</w:t>
      </w:r>
      <w:r w:rsidR="00CF08E2">
        <w:rPr>
          <w:rFonts w:ascii="Arial" w:hAnsi="Arial" w:cs="Arial"/>
          <w:sz w:val="24"/>
          <w:szCs w:val="24"/>
        </w:rPr>
        <w:t xml:space="preserve">adní týdenní doby služby. </w:t>
      </w:r>
      <w:r w:rsidRPr="00991985">
        <w:rPr>
          <w:rFonts w:ascii="Arial" w:hAnsi="Arial" w:cs="Arial"/>
          <w:sz w:val="24"/>
          <w:szCs w:val="24"/>
        </w:rPr>
        <w:t>Mezi</w:t>
      </w:r>
      <w:r w:rsidR="00CF08E2">
        <w:rPr>
          <w:rFonts w:ascii="Arial" w:hAnsi="Arial" w:cs="Arial"/>
          <w:sz w:val="24"/>
          <w:szCs w:val="24"/>
        </w:rPr>
        <w:t xml:space="preserve"> koncem jedné a začátkem druhé </w:t>
      </w:r>
      <w:r w:rsidRPr="00991985">
        <w:rPr>
          <w:rFonts w:ascii="Arial" w:hAnsi="Arial" w:cs="Arial"/>
          <w:sz w:val="24"/>
          <w:szCs w:val="24"/>
        </w:rPr>
        <w:t>služb</w:t>
      </w:r>
      <w:r w:rsidR="00CF08E2">
        <w:rPr>
          <w:rFonts w:ascii="Arial" w:hAnsi="Arial" w:cs="Arial"/>
          <w:sz w:val="24"/>
          <w:szCs w:val="24"/>
        </w:rPr>
        <w:t xml:space="preserve">y musí být </w:t>
      </w:r>
      <w:r w:rsidRPr="00991985">
        <w:rPr>
          <w:rFonts w:ascii="Arial" w:hAnsi="Arial" w:cs="Arial"/>
          <w:sz w:val="24"/>
          <w:szCs w:val="24"/>
        </w:rPr>
        <w:t xml:space="preserve">nejméně 12 hod odpočinek, </w:t>
      </w:r>
      <w:r w:rsidR="00CF08E2">
        <w:rPr>
          <w:rFonts w:ascii="Arial" w:hAnsi="Arial" w:cs="Arial"/>
          <w:sz w:val="24"/>
          <w:szCs w:val="24"/>
        </w:rPr>
        <w:t>v</w:t>
      </w:r>
      <w:r w:rsidRPr="00991985">
        <w:rPr>
          <w:rFonts w:ascii="Arial" w:hAnsi="Arial" w:cs="Arial"/>
          <w:sz w:val="24"/>
          <w:szCs w:val="24"/>
        </w:rPr>
        <w:t>ýjimečně jen 6 hod.,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Jednou týdně nepřetržitý odpočinek 36 hod,</w:t>
      </w:r>
      <w:r w:rsidR="00CF08E2">
        <w:rPr>
          <w:rFonts w:ascii="Arial" w:hAnsi="Arial" w:cs="Arial"/>
          <w:sz w:val="24"/>
          <w:szCs w:val="24"/>
        </w:rPr>
        <w:t xml:space="preserve"> nejlépe o víkendu.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Služba nad zákl</w:t>
      </w:r>
      <w:r w:rsidR="00CF08E2">
        <w:rPr>
          <w:rFonts w:ascii="Arial" w:hAnsi="Arial" w:cs="Arial"/>
          <w:sz w:val="24"/>
          <w:szCs w:val="24"/>
        </w:rPr>
        <w:t>adní</w:t>
      </w:r>
      <w:r w:rsidRPr="00991985">
        <w:rPr>
          <w:rFonts w:ascii="Arial" w:hAnsi="Arial" w:cs="Arial"/>
          <w:sz w:val="24"/>
          <w:szCs w:val="24"/>
        </w:rPr>
        <w:t xml:space="preserve"> dobu služby</w:t>
      </w:r>
      <w:r w:rsidR="00CF08E2">
        <w:rPr>
          <w:rFonts w:ascii="Arial" w:hAnsi="Arial" w:cs="Arial"/>
          <w:sz w:val="24"/>
          <w:szCs w:val="24"/>
        </w:rPr>
        <w:t xml:space="preserve"> (přesčas)</w:t>
      </w:r>
    </w:p>
    <w:p w:rsidR="009A0B5A" w:rsidRPr="00991985" w:rsidRDefault="0060365B" w:rsidP="00CF08E2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Voják je povinen ji vykonat v důležitém zájmu služby,</w:t>
      </w:r>
      <w:r w:rsidR="00CF08E2">
        <w:rPr>
          <w:rFonts w:ascii="Arial" w:hAnsi="Arial" w:cs="Arial"/>
          <w:sz w:val="24"/>
          <w:szCs w:val="24"/>
        </w:rPr>
        <w:t xml:space="preserve"> n</w:t>
      </w:r>
      <w:r w:rsidRPr="00991985">
        <w:rPr>
          <w:rFonts w:ascii="Arial" w:hAnsi="Arial" w:cs="Arial"/>
          <w:sz w:val="24"/>
          <w:szCs w:val="24"/>
        </w:rPr>
        <w:t>a rozkaz nadřízeného nebo se souhlasem</w:t>
      </w:r>
      <w:r w:rsidR="00CF08E2">
        <w:rPr>
          <w:rFonts w:ascii="Arial" w:hAnsi="Arial" w:cs="Arial"/>
          <w:sz w:val="24"/>
          <w:szCs w:val="24"/>
        </w:rPr>
        <w:t xml:space="preserve">. </w:t>
      </w:r>
      <w:r w:rsidRPr="00991985">
        <w:rPr>
          <w:rFonts w:ascii="Arial" w:hAnsi="Arial" w:cs="Arial"/>
          <w:sz w:val="24"/>
          <w:szCs w:val="24"/>
        </w:rPr>
        <w:t>Voják s kratší dobou služby ji nesmí konat</w:t>
      </w:r>
      <w:r w:rsidR="00CF08E2">
        <w:rPr>
          <w:rFonts w:ascii="Arial" w:hAnsi="Arial" w:cs="Arial"/>
          <w:sz w:val="24"/>
          <w:szCs w:val="24"/>
        </w:rPr>
        <w:t>. Za sl</w:t>
      </w:r>
      <w:r w:rsidRPr="00991985">
        <w:rPr>
          <w:rFonts w:ascii="Arial" w:hAnsi="Arial" w:cs="Arial"/>
          <w:sz w:val="24"/>
          <w:szCs w:val="24"/>
        </w:rPr>
        <w:t>užb</w:t>
      </w:r>
      <w:r w:rsidR="00CF08E2">
        <w:rPr>
          <w:rFonts w:ascii="Arial" w:hAnsi="Arial" w:cs="Arial"/>
          <w:sz w:val="24"/>
          <w:szCs w:val="24"/>
        </w:rPr>
        <w:t>u</w:t>
      </w:r>
      <w:r w:rsidRPr="00991985">
        <w:rPr>
          <w:rFonts w:ascii="Arial" w:hAnsi="Arial" w:cs="Arial"/>
          <w:sz w:val="24"/>
          <w:szCs w:val="24"/>
        </w:rPr>
        <w:t xml:space="preserve"> v noci </w:t>
      </w:r>
      <w:r w:rsidR="00CF08E2">
        <w:rPr>
          <w:rFonts w:ascii="Arial" w:hAnsi="Arial" w:cs="Arial"/>
          <w:sz w:val="24"/>
          <w:szCs w:val="24"/>
        </w:rPr>
        <w:t xml:space="preserve">se považuje služba mezi </w:t>
      </w:r>
      <w:r w:rsidRPr="00991985">
        <w:rPr>
          <w:rFonts w:ascii="Arial" w:hAnsi="Arial" w:cs="Arial"/>
          <w:sz w:val="24"/>
          <w:szCs w:val="24"/>
        </w:rPr>
        <w:t>22 – 06 hod</w:t>
      </w:r>
      <w:r w:rsidR="00CF08E2"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Služební pohotovost</w:t>
      </w:r>
    </w:p>
    <w:p w:rsidR="009A0B5A" w:rsidRPr="00991985" w:rsidRDefault="0060365B" w:rsidP="00CF08E2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Může být </w:t>
      </w:r>
      <w:r w:rsidR="00CF08E2">
        <w:rPr>
          <w:rFonts w:ascii="Arial" w:hAnsi="Arial" w:cs="Arial"/>
          <w:sz w:val="24"/>
          <w:szCs w:val="24"/>
        </w:rPr>
        <w:t xml:space="preserve">vojákovi </w:t>
      </w:r>
      <w:r w:rsidRPr="00991985">
        <w:rPr>
          <w:rFonts w:ascii="Arial" w:hAnsi="Arial" w:cs="Arial"/>
          <w:sz w:val="24"/>
          <w:szCs w:val="24"/>
        </w:rPr>
        <w:t>nařízena,</w:t>
      </w:r>
      <w:r w:rsidR="00CF08E2">
        <w:rPr>
          <w:rFonts w:ascii="Arial" w:hAnsi="Arial" w:cs="Arial"/>
          <w:sz w:val="24"/>
          <w:szCs w:val="24"/>
        </w:rPr>
        <w:t xml:space="preserve"> znamená to p</w:t>
      </w:r>
      <w:r w:rsidRPr="00991985">
        <w:rPr>
          <w:rFonts w:ascii="Arial" w:hAnsi="Arial" w:cs="Arial"/>
          <w:sz w:val="24"/>
          <w:szCs w:val="24"/>
        </w:rPr>
        <w:t>řítomnost vojáka ve vojenských objektech nebo na jiných určených místech mimo dobu služby</w:t>
      </w:r>
      <w:r w:rsidR="00CF08E2">
        <w:rPr>
          <w:rFonts w:ascii="Arial" w:hAnsi="Arial" w:cs="Arial"/>
          <w:sz w:val="24"/>
          <w:szCs w:val="24"/>
        </w:rPr>
        <w:t>. Za služební pohotovost náleží příplatek.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Zvláštní typy výkonu služby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Intenzivní vojenský výcvik - § 31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Nepřetržitý vojenský výcvik - § 31a,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Nepřetržité vojenské nasazení na území ČR   - § 31b,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lastRenderedPageBreak/>
        <w:t>Poskytování náhradního volna za výcvik, n</w:t>
      </w:r>
      <w:r w:rsidR="00232E03">
        <w:rPr>
          <w:rFonts w:ascii="Arial" w:hAnsi="Arial" w:cs="Arial"/>
          <w:sz w:val="24"/>
          <w:szCs w:val="24"/>
        </w:rPr>
        <w:t>epřetržitý výcvik nebo nasazení je vymezeno v § 31c.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Zrušení ve zkušební době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Jako v pracovním právu,</w:t>
      </w:r>
      <w:r w:rsidR="00232E03">
        <w:rPr>
          <w:rFonts w:ascii="Arial" w:hAnsi="Arial" w:cs="Arial"/>
          <w:sz w:val="24"/>
          <w:szCs w:val="24"/>
        </w:rPr>
        <w:t xml:space="preserve"> o</w:t>
      </w:r>
      <w:r w:rsidRPr="00991985">
        <w:rPr>
          <w:rFonts w:ascii="Arial" w:hAnsi="Arial" w:cs="Arial"/>
          <w:sz w:val="24"/>
          <w:szCs w:val="24"/>
        </w:rPr>
        <w:t>bě strany</w:t>
      </w:r>
      <w:r w:rsidR="00232E03">
        <w:rPr>
          <w:rFonts w:ascii="Arial" w:hAnsi="Arial" w:cs="Arial"/>
          <w:sz w:val="24"/>
          <w:szCs w:val="24"/>
        </w:rPr>
        <w:t xml:space="preserve"> mohou zrušit</w:t>
      </w:r>
      <w:r w:rsidRPr="00991985">
        <w:rPr>
          <w:rFonts w:ascii="Arial" w:hAnsi="Arial" w:cs="Arial"/>
          <w:sz w:val="24"/>
          <w:szCs w:val="24"/>
        </w:rPr>
        <w:t>, není potřeba zdůvodňovat</w:t>
      </w:r>
      <w:r w:rsidR="00232E03">
        <w:rPr>
          <w:rFonts w:ascii="Arial" w:hAnsi="Arial" w:cs="Arial"/>
          <w:sz w:val="24"/>
          <w:szCs w:val="24"/>
        </w:rPr>
        <w:t xml:space="preserve">. </w:t>
      </w:r>
      <w:r w:rsidRPr="00991985">
        <w:rPr>
          <w:rFonts w:ascii="Arial" w:hAnsi="Arial" w:cs="Arial"/>
          <w:sz w:val="24"/>
          <w:szCs w:val="24"/>
        </w:rPr>
        <w:t>Ne</w:t>
      </w:r>
      <w:r w:rsidR="00232E03">
        <w:rPr>
          <w:rFonts w:ascii="Arial" w:hAnsi="Arial" w:cs="Arial"/>
          <w:sz w:val="24"/>
          <w:szCs w:val="24"/>
        </w:rPr>
        <w:t>podává se</w:t>
      </w:r>
      <w:r w:rsidRPr="00991985">
        <w:rPr>
          <w:rFonts w:ascii="Arial" w:hAnsi="Arial" w:cs="Arial"/>
          <w:sz w:val="24"/>
          <w:szCs w:val="24"/>
        </w:rPr>
        <w:t xml:space="preserve"> žádost, samostatné rozhodnutí vojáka,</w:t>
      </w:r>
      <w:r w:rsidR="00232E03">
        <w:rPr>
          <w:rFonts w:ascii="Arial" w:hAnsi="Arial" w:cs="Arial"/>
          <w:sz w:val="24"/>
          <w:szCs w:val="24"/>
        </w:rPr>
        <w:t xml:space="preserve"> nebo služebního orgánu. J</w:t>
      </w:r>
      <w:r w:rsidRPr="00991985">
        <w:rPr>
          <w:rFonts w:ascii="Arial" w:hAnsi="Arial" w:cs="Arial"/>
          <w:sz w:val="24"/>
          <w:szCs w:val="24"/>
        </w:rPr>
        <w:t>en k poslednímu dni měsíce,</w:t>
      </w:r>
      <w:r w:rsidR="00232E03">
        <w:rPr>
          <w:rFonts w:ascii="Arial" w:hAnsi="Arial" w:cs="Arial"/>
          <w:sz w:val="24"/>
          <w:szCs w:val="24"/>
        </w:rPr>
        <w:t xml:space="preserve"> p</w:t>
      </w:r>
      <w:r w:rsidRPr="00991985">
        <w:rPr>
          <w:rFonts w:ascii="Arial" w:hAnsi="Arial" w:cs="Arial"/>
          <w:sz w:val="24"/>
          <w:szCs w:val="24"/>
        </w:rPr>
        <w:t>ísemně, doručení, 5 dnů před zánikem</w:t>
      </w:r>
      <w:r w:rsidR="00232E03"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Odnětí hodnosti</w:t>
      </w:r>
    </w:p>
    <w:p w:rsidR="009A0B5A" w:rsidRPr="00991985" w:rsidRDefault="00232E03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Mimořádný institut zákona, jen za ú</w:t>
      </w:r>
      <w:r w:rsidR="0060365B" w:rsidRPr="00991985">
        <w:rPr>
          <w:rFonts w:ascii="Arial" w:hAnsi="Arial" w:cs="Arial"/>
          <w:sz w:val="24"/>
          <w:szCs w:val="24"/>
        </w:rPr>
        <w:t>myslné, zvlášť závažné porušení služebních povinností vojáke</w:t>
      </w:r>
      <w:r>
        <w:rPr>
          <w:rFonts w:ascii="Arial" w:hAnsi="Arial" w:cs="Arial"/>
          <w:sz w:val="24"/>
          <w:szCs w:val="24"/>
        </w:rPr>
        <w:t xml:space="preserve">m. </w:t>
      </w:r>
      <w:r w:rsidR="0060365B" w:rsidRPr="00991985">
        <w:rPr>
          <w:rFonts w:ascii="Arial" w:hAnsi="Arial" w:cs="Arial"/>
          <w:sz w:val="24"/>
          <w:szCs w:val="24"/>
        </w:rPr>
        <w:t>Správní řízení, rozhoduje ministr, možnost rozkladu</w:t>
      </w:r>
      <w:r>
        <w:rPr>
          <w:rFonts w:ascii="Arial" w:hAnsi="Arial" w:cs="Arial"/>
          <w:sz w:val="24"/>
          <w:szCs w:val="24"/>
        </w:rPr>
        <w:t>. Po odnětí p</w:t>
      </w:r>
      <w:r w:rsidR="0060365B" w:rsidRPr="00991985">
        <w:rPr>
          <w:rFonts w:ascii="Arial" w:hAnsi="Arial" w:cs="Arial"/>
          <w:sz w:val="24"/>
          <w:szCs w:val="24"/>
        </w:rPr>
        <w:t>řísluší hodnost vojín,</w:t>
      </w:r>
      <w:r>
        <w:rPr>
          <w:rFonts w:ascii="Arial" w:hAnsi="Arial" w:cs="Arial"/>
          <w:sz w:val="24"/>
          <w:szCs w:val="24"/>
        </w:rPr>
        <w:t xml:space="preserve"> za</w:t>
      </w:r>
      <w:r w:rsidR="0060365B" w:rsidRPr="00991985"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>ne</w:t>
      </w:r>
      <w:r w:rsidR="0060365B" w:rsidRPr="00991985">
        <w:rPr>
          <w:rFonts w:ascii="Arial" w:hAnsi="Arial" w:cs="Arial"/>
          <w:sz w:val="24"/>
          <w:szCs w:val="24"/>
        </w:rPr>
        <w:t xml:space="preserve"> služební poměr,</w:t>
      </w:r>
      <w:r>
        <w:rPr>
          <w:rFonts w:ascii="Arial" w:hAnsi="Arial" w:cs="Arial"/>
          <w:sz w:val="24"/>
          <w:szCs w:val="24"/>
        </w:rPr>
        <w:t xml:space="preserve"> l</w:t>
      </w:r>
      <w:r w:rsidR="0060365B" w:rsidRPr="00991985">
        <w:rPr>
          <w:rFonts w:ascii="Arial" w:hAnsi="Arial" w:cs="Arial"/>
          <w:sz w:val="24"/>
          <w:szCs w:val="24"/>
        </w:rPr>
        <w:t>hůta k rozhodnutí je nejvýše 6 měsíců (prekluze),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Občanská práva vojáka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Obecná úprava v Listině základních práv a svobod – 2/1993 Sb.,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Některá práva lze v demokratické společnosti omezit, určitým kategoriím a jen zákonem,</w:t>
      </w:r>
      <w:r w:rsidR="00232E03">
        <w:rPr>
          <w:rFonts w:ascii="Arial" w:hAnsi="Arial" w:cs="Arial"/>
          <w:sz w:val="24"/>
          <w:szCs w:val="24"/>
        </w:rPr>
        <w:t xml:space="preserve"> o</w:t>
      </w:r>
      <w:r w:rsidRPr="00991985">
        <w:rPr>
          <w:rFonts w:ascii="Arial" w:hAnsi="Arial" w:cs="Arial"/>
          <w:sz w:val="24"/>
          <w:szCs w:val="24"/>
        </w:rPr>
        <w:t>mezení - vojáci, policisté, lékaři, jaderné elektrárny, letový provoz, justice,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Omezení občanských práv</w:t>
      </w:r>
      <w:r w:rsidR="00232E03">
        <w:rPr>
          <w:rFonts w:ascii="Arial" w:hAnsi="Arial" w:cs="Arial"/>
          <w:sz w:val="24"/>
          <w:szCs w:val="24"/>
        </w:rPr>
        <w:t xml:space="preserve"> vojáků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b/>
          <w:bCs/>
          <w:sz w:val="24"/>
          <w:szCs w:val="24"/>
        </w:rPr>
        <w:t>Shromažďovací</w:t>
      </w:r>
      <w:r w:rsidRPr="00991985">
        <w:rPr>
          <w:rFonts w:ascii="Arial" w:hAnsi="Arial" w:cs="Arial"/>
          <w:sz w:val="24"/>
          <w:szCs w:val="24"/>
        </w:rPr>
        <w:t xml:space="preserve"> právo – nelze pořádat politická shromáždění ani agitovat ve voj</w:t>
      </w:r>
      <w:r w:rsidR="00232E03">
        <w:rPr>
          <w:rFonts w:ascii="Arial" w:hAnsi="Arial" w:cs="Arial"/>
          <w:sz w:val="24"/>
          <w:szCs w:val="24"/>
        </w:rPr>
        <w:t>enských</w:t>
      </w:r>
      <w:r w:rsidRPr="00991985">
        <w:rPr>
          <w:rFonts w:ascii="Arial" w:hAnsi="Arial" w:cs="Arial"/>
          <w:sz w:val="24"/>
          <w:szCs w:val="24"/>
        </w:rPr>
        <w:t xml:space="preserve"> objektech,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b/>
          <w:bCs/>
          <w:sz w:val="24"/>
          <w:szCs w:val="24"/>
        </w:rPr>
        <w:t>Sdružovací</w:t>
      </w:r>
      <w:r w:rsidRPr="00991985">
        <w:rPr>
          <w:rFonts w:ascii="Arial" w:hAnsi="Arial" w:cs="Arial"/>
          <w:sz w:val="24"/>
          <w:szCs w:val="24"/>
        </w:rPr>
        <w:t xml:space="preserve"> právo – </w:t>
      </w:r>
      <w:r w:rsidR="00232E03">
        <w:rPr>
          <w:rFonts w:ascii="Arial" w:hAnsi="Arial" w:cs="Arial"/>
          <w:sz w:val="24"/>
          <w:szCs w:val="24"/>
        </w:rPr>
        <w:t xml:space="preserve">voják nesmí být členem </w:t>
      </w:r>
      <w:r w:rsidRPr="00991985">
        <w:rPr>
          <w:rFonts w:ascii="Arial" w:hAnsi="Arial" w:cs="Arial"/>
          <w:sz w:val="24"/>
          <w:szCs w:val="24"/>
        </w:rPr>
        <w:t>politické strany, hnutí, odbor</w:t>
      </w:r>
      <w:r w:rsidR="00232E03">
        <w:rPr>
          <w:rFonts w:ascii="Arial" w:hAnsi="Arial" w:cs="Arial"/>
          <w:sz w:val="24"/>
          <w:szCs w:val="24"/>
        </w:rPr>
        <w:t>ové organizace</w:t>
      </w:r>
      <w:r w:rsidRPr="00991985">
        <w:rPr>
          <w:rFonts w:ascii="Arial" w:hAnsi="Arial" w:cs="Arial"/>
          <w:sz w:val="24"/>
          <w:szCs w:val="24"/>
        </w:rPr>
        <w:t xml:space="preserve"> – pouze profesní sdružení</w:t>
      </w:r>
      <w:r w:rsidR="00232E03">
        <w:rPr>
          <w:rFonts w:ascii="Arial" w:hAnsi="Arial" w:cs="Arial"/>
          <w:sz w:val="24"/>
          <w:szCs w:val="24"/>
        </w:rPr>
        <w:t>. Může být Svaz zahrádkářů, včelařů, lyžařů.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Projevy </w:t>
      </w:r>
      <w:r w:rsidRPr="00991985">
        <w:rPr>
          <w:rFonts w:ascii="Arial" w:hAnsi="Arial" w:cs="Arial"/>
          <w:b/>
          <w:bCs/>
          <w:sz w:val="24"/>
          <w:szCs w:val="24"/>
        </w:rPr>
        <w:t>náboženství</w:t>
      </w:r>
      <w:r w:rsidRPr="00991985">
        <w:rPr>
          <w:rFonts w:ascii="Arial" w:hAnsi="Arial" w:cs="Arial"/>
          <w:sz w:val="24"/>
          <w:szCs w:val="24"/>
        </w:rPr>
        <w:t xml:space="preserve"> nebo víry – nelze</w:t>
      </w:r>
      <w:r w:rsidR="00232E03">
        <w:rPr>
          <w:rFonts w:ascii="Arial" w:hAnsi="Arial" w:cs="Arial"/>
          <w:sz w:val="24"/>
          <w:szCs w:val="24"/>
        </w:rPr>
        <w:t xml:space="preserve"> pořádat nebo navštěvovat</w:t>
      </w:r>
      <w:r w:rsidRPr="00991985">
        <w:rPr>
          <w:rFonts w:ascii="Arial" w:hAnsi="Arial" w:cs="Arial"/>
          <w:sz w:val="24"/>
          <w:szCs w:val="24"/>
        </w:rPr>
        <w:t xml:space="preserve"> tehdy, pokud v tom brání důležitý zájem služby,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Omezení občanských práv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b/>
          <w:bCs/>
          <w:sz w:val="24"/>
          <w:szCs w:val="24"/>
        </w:rPr>
        <w:t xml:space="preserve">Výdělečná činnost </w:t>
      </w:r>
      <w:r w:rsidRPr="00991985">
        <w:rPr>
          <w:rFonts w:ascii="Arial" w:hAnsi="Arial" w:cs="Arial"/>
          <w:sz w:val="24"/>
          <w:szCs w:val="24"/>
        </w:rPr>
        <w:t>– pouze výjimečně</w:t>
      </w:r>
      <w:r w:rsidR="00232E03">
        <w:rPr>
          <w:rFonts w:ascii="Arial" w:hAnsi="Arial" w:cs="Arial"/>
          <w:sz w:val="24"/>
          <w:szCs w:val="24"/>
        </w:rPr>
        <w:t xml:space="preserve"> s</w:t>
      </w:r>
      <w:r w:rsidRPr="00991985">
        <w:rPr>
          <w:rFonts w:ascii="Arial" w:hAnsi="Arial" w:cs="Arial"/>
          <w:sz w:val="24"/>
          <w:szCs w:val="24"/>
        </w:rPr>
        <w:t xml:space="preserve"> </w:t>
      </w:r>
      <w:r w:rsidR="00232E03">
        <w:rPr>
          <w:rFonts w:ascii="Arial" w:hAnsi="Arial" w:cs="Arial"/>
          <w:sz w:val="24"/>
          <w:szCs w:val="24"/>
        </w:rPr>
        <w:t xml:space="preserve">předchozím </w:t>
      </w:r>
      <w:r w:rsidRPr="00991985">
        <w:rPr>
          <w:rFonts w:ascii="Arial" w:hAnsi="Arial" w:cs="Arial"/>
          <w:sz w:val="24"/>
          <w:szCs w:val="24"/>
        </w:rPr>
        <w:t>písemným souhlasem sl</w:t>
      </w:r>
      <w:r w:rsidR="00232E03">
        <w:rPr>
          <w:rFonts w:ascii="Arial" w:hAnsi="Arial" w:cs="Arial"/>
          <w:sz w:val="24"/>
          <w:szCs w:val="24"/>
        </w:rPr>
        <w:t>užebního</w:t>
      </w:r>
      <w:r w:rsidRPr="00991985">
        <w:rPr>
          <w:rFonts w:ascii="Arial" w:hAnsi="Arial" w:cs="Arial"/>
          <w:sz w:val="24"/>
          <w:szCs w:val="24"/>
        </w:rPr>
        <w:t xml:space="preserve"> orgánu, </w:t>
      </w:r>
      <w:r w:rsidR="00232E03">
        <w:rPr>
          <w:rFonts w:ascii="Arial" w:hAnsi="Arial" w:cs="Arial"/>
          <w:sz w:val="24"/>
          <w:szCs w:val="24"/>
        </w:rPr>
        <w:t xml:space="preserve">činnost </w:t>
      </w:r>
      <w:r w:rsidRPr="00991985">
        <w:rPr>
          <w:rFonts w:ascii="Arial" w:hAnsi="Arial" w:cs="Arial"/>
          <w:sz w:val="24"/>
          <w:szCs w:val="24"/>
        </w:rPr>
        <w:t xml:space="preserve">nesmí ovlivňovat výkon služby, souhlas může být odvolán, </w:t>
      </w:r>
    </w:p>
    <w:p w:rsidR="009A0B5A" w:rsidRPr="00991985" w:rsidRDefault="00232E03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0365B" w:rsidRPr="00991985">
        <w:rPr>
          <w:rFonts w:ascii="Arial" w:hAnsi="Arial" w:cs="Arial"/>
          <w:sz w:val="24"/>
          <w:szCs w:val="24"/>
        </w:rPr>
        <w:t xml:space="preserve">ědeckou, pedagogickou, publicistickou, literární, uměleckou činnost a správu vlastního majetku, lze vykonávat bez souhlasu,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b/>
          <w:bCs/>
          <w:sz w:val="24"/>
          <w:szCs w:val="24"/>
        </w:rPr>
        <w:t>Nelze</w:t>
      </w:r>
      <w:r w:rsidRPr="00991985">
        <w:rPr>
          <w:rFonts w:ascii="Arial" w:hAnsi="Arial" w:cs="Arial"/>
          <w:sz w:val="24"/>
          <w:szCs w:val="24"/>
        </w:rPr>
        <w:t xml:space="preserve"> být statutárním orgánem obchodních společností – pouze byt. </w:t>
      </w:r>
      <w:proofErr w:type="gramStart"/>
      <w:r w:rsidRPr="00991985">
        <w:rPr>
          <w:rFonts w:ascii="Arial" w:hAnsi="Arial" w:cs="Arial"/>
          <w:sz w:val="24"/>
          <w:szCs w:val="24"/>
        </w:rPr>
        <w:t>družstva</w:t>
      </w:r>
      <w:proofErr w:type="gramEnd"/>
      <w:r w:rsidRPr="00991985">
        <w:rPr>
          <w:rFonts w:ascii="Arial" w:hAnsi="Arial" w:cs="Arial"/>
          <w:sz w:val="24"/>
          <w:szCs w:val="24"/>
        </w:rPr>
        <w:t xml:space="preserve"> nebo s</w:t>
      </w:r>
      <w:r w:rsidR="00232E03">
        <w:rPr>
          <w:rFonts w:ascii="Arial" w:hAnsi="Arial" w:cs="Arial"/>
          <w:sz w:val="24"/>
          <w:szCs w:val="24"/>
        </w:rPr>
        <w:t xml:space="preserve">tátní </w:t>
      </w:r>
      <w:r w:rsidRPr="00991985">
        <w:rPr>
          <w:rFonts w:ascii="Arial" w:hAnsi="Arial" w:cs="Arial"/>
          <w:sz w:val="24"/>
          <w:szCs w:val="24"/>
        </w:rPr>
        <w:t>p</w:t>
      </w:r>
      <w:r w:rsidR="00232E03">
        <w:rPr>
          <w:rFonts w:ascii="Arial" w:hAnsi="Arial" w:cs="Arial"/>
          <w:sz w:val="24"/>
          <w:szCs w:val="24"/>
        </w:rPr>
        <w:t>odniky do kterých byl voják vyslán zastupovat stát,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Základní povinnosti vojáků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stanoví § 48,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porušení povinností je kázeňským přestupkem</w:t>
      </w:r>
      <w:r w:rsidR="00232E03">
        <w:rPr>
          <w:rFonts w:ascii="Arial" w:hAnsi="Arial" w:cs="Arial"/>
          <w:sz w:val="24"/>
          <w:szCs w:val="24"/>
        </w:rPr>
        <w:t>.</w:t>
      </w:r>
    </w:p>
    <w:p w:rsidR="009A0B5A" w:rsidRPr="00991985" w:rsidRDefault="00232E03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60365B" w:rsidRPr="00991985">
        <w:rPr>
          <w:rFonts w:ascii="Arial" w:hAnsi="Arial" w:cs="Arial"/>
          <w:sz w:val="24"/>
          <w:szCs w:val="24"/>
        </w:rPr>
        <w:t>oják je oprávněn odepřít splnění rozkazu, pokud by jeho splněním spáchal trestný čin, pokud je rozkaz v rozporu s právním předpisem, je voják povinen na to upozornit, přesto jej však musí splnit,</w:t>
      </w:r>
    </w:p>
    <w:p w:rsidR="009A0B5A" w:rsidRPr="00991985" w:rsidRDefault="00232E03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0365B" w:rsidRPr="00991985">
        <w:rPr>
          <w:rFonts w:ascii="Arial" w:hAnsi="Arial" w:cs="Arial"/>
          <w:sz w:val="24"/>
          <w:szCs w:val="24"/>
        </w:rPr>
        <w:t>oják je povinen zakročit, pokud hrozí škoda</w:t>
      </w:r>
      <w:r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Základní povinnosti nadřízeného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Nadřízení jsou povinni zejména: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organizovat, řídit, kontrolovat a hodnotit,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zabezpečovat odbornou přípravu a výcvik,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vytvářet příznivé podmínky pro výkon služby,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vést vojáky ke kázni,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 xml:space="preserve">seznamovat vojáky s novými právními normami a vnitřními předpisy,  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Péče o vojáky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ministerstvo vytváří vojákům podmínky pro řádný, hospodárný a bezpečný výkon služby,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zdravotní služby, úprava míst, kde vojáci konají službu,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vytváření podmínek pro stravování, zajištění ubytování, vzdělávání, rekvalifikace,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uspokojování kulturních, rekreačních a tělovýchovných potřeb, kontakt s</w:t>
      </w:r>
      <w:r w:rsidR="00232E03">
        <w:rPr>
          <w:rFonts w:ascii="Arial" w:hAnsi="Arial" w:cs="Arial"/>
          <w:sz w:val="24"/>
          <w:szCs w:val="24"/>
        </w:rPr>
        <w:t> </w:t>
      </w:r>
      <w:r w:rsidRPr="00991985">
        <w:rPr>
          <w:rFonts w:ascii="Arial" w:hAnsi="Arial" w:cs="Arial"/>
          <w:sz w:val="24"/>
          <w:szCs w:val="24"/>
        </w:rPr>
        <w:t>rodinou</w:t>
      </w:r>
      <w:r w:rsidR="00232E03">
        <w:rPr>
          <w:rFonts w:ascii="Arial" w:hAnsi="Arial" w:cs="Arial"/>
          <w:sz w:val="24"/>
          <w:szCs w:val="24"/>
        </w:rPr>
        <w:t xml:space="preserve"> v zahraničních operacích.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Rozšíření vzdělání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Voják, který si zvyšuje nebo rozšiřuje vzdělání využitelné pro služební zařazení,</w:t>
      </w:r>
      <w:r w:rsidR="00232E03">
        <w:rPr>
          <w:rFonts w:ascii="Arial" w:hAnsi="Arial" w:cs="Arial"/>
          <w:sz w:val="24"/>
          <w:szCs w:val="24"/>
        </w:rPr>
        <w:t xml:space="preserve"> musí u</w:t>
      </w:r>
      <w:r w:rsidRPr="00991985">
        <w:rPr>
          <w:rFonts w:ascii="Arial" w:hAnsi="Arial" w:cs="Arial"/>
          <w:sz w:val="24"/>
          <w:szCs w:val="24"/>
        </w:rPr>
        <w:t>zavř</w:t>
      </w:r>
      <w:r w:rsidR="00232E03">
        <w:rPr>
          <w:rFonts w:ascii="Arial" w:hAnsi="Arial" w:cs="Arial"/>
          <w:sz w:val="24"/>
          <w:szCs w:val="24"/>
        </w:rPr>
        <w:t>ít</w:t>
      </w:r>
      <w:r w:rsidRPr="00991985">
        <w:rPr>
          <w:rFonts w:ascii="Arial" w:hAnsi="Arial" w:cs="Arial"/>
          <w:sz w:val="24"/>
          <w:szCs w:val="24"/>
        </w:rPr>
        <w:t xml:space="preserve"> dohody o zvýšení nebo rozšíření vzdělání – stát se zavazuje umožnit vzdělávání, voják se zavazuje setrvat ve služebním poměru nebo uhradit náklady.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Písemná – 4 náležitosti, náhrada 265/99 Sb.</w:t>
      </w:r>
      <w:r w:rsidR="00232E03">
        <w:rPr>
          <w:rFonts w:ascii="Arial" w:hAnsi="Arial" w:cs="Arial"/>
          <w:sz w:val="24"/>
          <w:szCs w:val="24"/>
        </w:rPr>
        <w:t xml:space="preserve">, </w:t>
      </w:r>
      <w:r w:rsidRPr="00991985">
        <w:rPr>
          <w:rFonts w:ascii="Arial" w:hAnsi="Arial" w:cs="Arial"/>
          <w:sz w:val="24"/>
          <w:szCs w:val="24"/>
        </w:rPr>
        <w:t>30 tis – piloti, 12 – lékaři, 9 ostatní VŠ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Zabezpečení vojáků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poskytování platu – zák. 143/1992 Sb.,</w:t>
      </w:r>
      <w:r w:rsidR="00232E03">
        <w:rPr>
          <w:rFonts w:ascii="Arial" w:hAnsi="Arial" w:cs="Arial"/>
          <w:sz w:val="24"/>
          <w:szCs w:val="24"/>
        </w:rPr>
        <w:t xml:space="preserve"> o platu,</w:t>
      </w:r>
      <w:r w:rsidRPr="00991985">
        <w:rPr>
          <w:rFonts w:ascii="Arial" w:hAnsi="Arial" w:cs="Arial"/>
          <w:sz w:val="24"/>
          <w:szCs w:val="24"/>
        </w:rPr>
        <w:t xml:space="preserve"> připravuje se nová úprava,</w:t>
      </w:r>
    </w:p>
    <w:p w:rsidR="009A0B5A" w:rsidRPr="00991985" w:rsidRDefault="0060365B" w:rsidP="00232E03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náborový příspěvek 30 – 130 tis. Kč,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cestovní náhrady, stravné, jízdné,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proviantní, výstrojní, přepravní náležitosti,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zdravotní péče, rekreace VLRZ,</w:t>
      </w:r>
      <w:r w:rsidR="00232E03"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preventivní rehabilitace, mimořádná rehabilitace</w:t>
      </w:r>
      <w:r w:rsidR="00232E03">
        <w:rPr>
          <w:rFonts w:ascii="Arial" w:hAnsi="Arial" w:cs="Arial"/>
          <w:sz w:val="24"/>
          <w:szCs w:val="24"/>
        </w:rPr>
        <w:t xml:space="preserve"> (po návratu ze zahraniční operace)</w:t>
      </w:r>
      <w:r w:rsidRPr="00991985">
        <w:rPr>
          <w:rFonts w:ascii="Arial" w:hAnsi="Arial" w:cs="Arial"/>
          <w:sz w:val="24"/>
          <w:szCs w:val="24"/>
        </w:rPr>
        <w:t>,</w:t>
      </w:r>
    </w:p>
    <w:p w:rsidR="009A0B5A" w:rsidRPr="00991985" w:rsidRDefault="00232E03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 a ochrana zdraví při výkonu služby</w:t>
      </w:r>
      <w:r w:rsidR="0060365B" w:rsidRPr="00991985">
        <w:rPr>
          <w:rFonts w:ascii="Arial" w:hAnsi="Arial" w:cs="Arial"/>
          <w:sz w:val="24"/>
          <w:szCs w:val="24"/>
        </w:rPr>
        <w:t xml:space="preserve"> (BOZP)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obdobně jako podle ZP, služební orgány zajišťují bezpečné prostředí pro výkon služby, prevence rizik, pravidelná školení, evidence,</w:t>
      </w:r>
      <w:r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prostředky pro první pomoc,</w:t>
      </w:r>
      <w:r>
        <w:rPr>
          <w:rFonts w:ascii="Arial" w:hAnsi="Arial" w:cs="Arial"/>
          <w:sz w:val="24"/>
          <w:szCs w:val="24"/>
        </w:rPr>
        <w:t xml:space="preserve"> poskytování ochranných pomůcek. V</w:t>
      </w:r>
      <w:r w:rsidRPr="00991985">
        <w:rPr>
          <w:rFonts w:ascii="Arial" w:hAnsi="Arial" w:cs="Arial"/>
          <w:sz w:val="24"/>
          <w:szCs w:val="24"/>
        </w:rPr>
        <w:t>ojáci jsou povinni dodržovat pravidla, nepožívat alkohol a OPL, nekouřit,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Náhrada škody</w:t>
      </w:r>
      <w:r>
        <w:rPr>
          <w:rFonts w:ascii="Arial" w:hAnsi="Arial" w:cs="Arial"/>
          <w:sz w:val="24"/>
          <w:szCs w:val="24"/>
        </w:rPr>
        <w:t xml:space="preserve"> je řešena v dalším tématu.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lastRenderedPageBreak/>
        <w:t>Rozlišuje se odpovědnost vojáka za škodu způsobenou státu a odpovědnost státu za škodu způsobenou vojákovi,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Obdobná právní úprava jako v ZP,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Objasňování škod se řídí podle vnitřního předpisu RMO 47/2013 Věstníku </w:t>
      </w:r>
      <w:r w:rsidRPr="00991985">
        <w:rPr>
          <w:rFonts w:ascii="Arial" w:hAnsi="Arial" w:cs="Arial"/>
          <w:i/>
          <w:iCs/>
          <w:sz w:val="24"/>
          <w:szCs w:val="24"/>
        </w:rPr>
        <w:t>Předcházení škodám a řešení škod na majetku státu v působnosti Ministerstva obrany</w:t>
      </w:r>
      <w:r w:rsidRPr="00991985">
        <w:rPr>
          <w:rFonts w:ascii="Arial" w:hAnsi="Arial" w:cs="Arial"/>
          <w:sz w:val="24"/>
          <w:szCs w:val="24"/>
        </w:rPr>
        <w:t xml:space="preserve">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Výsluhové náležitosti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K ocenění náročnosti služby se vojákovi poskytují při zániku služebního poměru </w:t>
      </w:r>
      <w:r>
        <w:rPr>
          <w:rFonts w:ascii="Arial" w:hAnsi="Arial" w:cs="Arial"/>
          <w:sz w:val="24"/>
          <w:szCs w:val="24"/>
        </w:rPr>
        <w:t xml:space="preserve">následující </w:t>
      </w:r>
      <w:r w:rsidRPr="00991985">
        <w:rPr>
          <w:rFonts w:ascii="Arial" w:hAnsi="Arial" w:cs="Arial"/>
          <w:sz w:val="24"/>
          <w:szCs w:val="24"/>
        </w:rPr>
        <w:t>výsluhové náležitosti,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výsluhový příspěvek,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odbytné,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odchodné,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úmrtné,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Výsluhový příspěvek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91985">
        <w:rPr>
          <w:rFonts w:ascii="Arial" w:hAnsi="Arial" w:cs="Arial"/>
          <w:sz w:val="24"/>
          <w:szCs w:val="24"/>
        </w:rPr>
        <w:t>árok vzniká po 15 letech trvání služebního poměru,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průměrný měsíční hrubý plat – poslední kalendářní rok služby,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základní výše je 5 %, pak nárůst až do 55 resp. 60 % platu,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vyplácí se na žádost, každý měsíc, až do smrti, souběh se starobním důchodem, valorizace,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Odbytné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nárok vzniká po 2 letech služby, kdo má odbytné, nemůže m</w:t>
      </w:r>
      <w:r>
        <w:rPr>
          <w:rFonts w:ascii="Arial" w:hAnsi="Arial" w:cs="Arial"/>
          <w:sz w:val="24"/>
          <w:szCs w:val="24"/>
        </w:rPr>
        <w:t>ít výsluhový příspěvek a naopak. R</w:t>
      </w:r>
      <w:r w:rsidRPr="00991985">
        <w:rPr>
          <w:rFonts w:ascii="Arial" w:hAnsi="Arial" w:cs="Arial"/>
          <w:sz w:val="24"/>
          <w:szCs w:val="24"/>
        </w:rPr>
        <w:t>ozsah 2 – 18 platů, jednorázová výplata,</w:t>
      </w:r>
      <w:r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>při reaktivaci se vrací poměrná část</w:t>
      </w:r>
      <w:r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Odchodné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jen pro ty, co mají výsluhový příspěvek,</w:t>
      </w:r>
      <w:r>
        <w:rPr>
          <w:rFonts w:ascii="Arial" w:hAnsi="Arial" w:cs="Arial"/>
          <w:sz w:val="24"/>
          <w:szCs w:val="24"/>
        </w:rPr>
        <w:t xml:space="preserve"> v rozsahu </w:t>
      </w:r>
      <w:r w:rsidRPr="00991985">
        <w:rPr>
          <w:rFonts w:ascii="Arial" w:hAnsi="Arial" w:cs="Arial"/>
          <w:sz w:val="24"/>
          <w:szCs w:val="24"/>
        </w:rPr>
        <w:t>4 – 6 násobek platu,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po 15 letech 4 x, pak každý rok + 40 %, po 20 letech už 6 x,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Úmrtné se poskytuje pozůstalému manželovi a dětem v rozsahu poloviny odbytného.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Výsluhové náležitosti - organizace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91985">
        <w:rPr>
          <w:rFonts w:ascii="Arial" w:hAnsi="Arial" w:cs="Arial"/>
          <w:sz w:val="24"/>
          <w:szCs w:val="24"/>
        </w:rPr>
        <w:t>očítá a vyplácí MO – Vojenský úřad sociálního zabezpečení,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991985">
        <w:rPr>
          <w:rFonts w:ascii="Arial" w:hAnsi="Arial" w:cs="Arial"/>
          <w:sz w:val="24"/>
          <w:szCs w:val="24"/>
        </w:rPr>
        <w:t>výhodnění služby v misích – dvojnásobný zápočet celých měsíců,</w:t>
      </w:r>
      <w:r>
        <w:rPr>
          <w:rFonts w:ascii="Arial" w:hAnsi="Arial" w:cs="Arial"/>
          <w:sz w:val="24"/>
          <w:szCs w:val="24"/>
        </w:rPr>
        <w:t xml:space="preserve"> </w:t>
      </w:r>
      <w:r w:rsidRPr="00991985">
        <w:rPr>
          <w:rFonts w:ascii="Arial" w:hAnsi="Arial" w:cs="Arial"/>
          <w:sz w:val="24"/>
          <w:szCs w:val="24"/>
        </w:rPr>
        <w:t xml:space="preserve">zvýhodnění služby zvláštní povahy – </w:t>
      </w:r>
      <w:proofErr w:type="spellStart"/>
      <w:r w:rsidRPr="00991985">
        <w:rPr>
          <w:rFonts w:ascii="Arial" w:hAnsi="Arial" w:cs="Arial"/>
          <w:sz w:val="24"/>
          <w:szCs w:val="24"/>
        </w:rPr>
        <w:t>jedenapůlnásobek</w:t>
      </w:r>
      <w:proofErr w:type="spellEnd"/>
      <w:r w:rsidRPr="00991985">
        <w:rPr>
          <w:rFonts w:ascii="Arial" w:hAnsi="Arial" w:cs="Arial"/>
          <w:sz w:val="24"/>
          <w:szCs w:val="24"/>
        </w:rPr>
        <w:t xml:space="preserve"> (letectvo, výsadkáři, VP, VZ)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91985">
        <w:rPr>
          <w:rFonts w:ascii="Arial" w:hAnsi="Arial" w:cs="Arial"/>
          <w:sz w:val="24"/>
          <w:szCs w:val="24"/>
        </w:rPr>
        <w:t>očítá se poslední kalendářní rok služby, odměny max. 2 platy, srovnatelné místo, trestní stíhání</w:t>
      </w:r>
      <w:r>
        <w:rPr>
          <w:rFonts w:ascii="Arial" w:hAnsi="Arial" w:cs="Arial"/>
          <w:sz w:val="24"/>
          <w:szCs w:val="24"/>
        </w:rPr>
        <w:t xml:space="preserve"> musí voják hlásit a výplata je pozastavena</w:t>
      </w:r>
      <w:r w:rsidRPr="00991985">
        <w:rPr>
          <w:rFonts w:ascii="Arial" w:hAnsi="Arial" w:cs="Arial"/>
          <w:sz w:val="24"/>
          <w:szCs w:val="24"/>
        </w:rPr>
        <w:t>!!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 xml:space="preserve">Rozhodování ve věcech sl. poměru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91985">
        <w:rPr>
          <w:rFonts w:ascii="Arial" w:hAnsi="Arial" w:cs="Arial"/>
          <w:sz w:val="24"/>
          <w:szCs w:val="24"/>
        </w:rPr>
        <w:t>ouběh pravidel podle zákona</w:t>
      </w:r>
      <w:r>
        <w:rPr>
          <w:rFonts w:ascii="Arial" w:hAnsi="Arial" w:cs="Arial"/>
          <w:sz w:val="24"/>
          <w:szCs w:val="24"/>
        </w:rPr>
        <w:t xml:space="preserve"> o VZP</w:t>
      </w:r>
      <w:r w:rsidRPr="00991985">
        <w:rPr>
          <w:rFonts w:ascii="Arial" w:hAnsi="Arial" w:cs="Arial"/>
          <w:sz w:val="24"/>
          <w:szCs w:val="24"/>
        </w:rPr>
        <w:t xml:space="preserve"> se správním řádem,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91985">
        <w:rPr>
          <w:rFonts w:ascii="Arial" w:hAnsi="Arial" w:cs="Arial"/>
          <w:sz w:val="24"/>
          <w:szCs w:val="24"/>
        </w:rPr>
        <w:t>ozhoduje se mj. o změně doby trvání SP, přerušení SP, náhrada škody, propuštění, odnětí hodnosti, zrušení ve zkušební době, vrácení náborového příspěvku, úhradě nákladů při nes</w:t>
      </w:r>
      <w:r>
        <w:rPr>
          <w:rFonts w:ascii="Arial" w:hAnsi="Arial" w:cs="Arial"/>
          <w:sz w:val="24"/>
          <w:szCs w:val="24"/>
        </w:rPr>
        <w:t>plnění povinnosti setrvat v SP. Ř</w:t>
      </w:r>
      <w:r w:rsidRPr="00991985">
        <w:rPr>
          <w:rFonts w:ascii="Arial" w:hAnsi="Arial" w:cs="Arial"/>
          <w:sz w:val="24"/>
          <w:szCs w:val="24"/>
        </w:rPr>
        <w:t xml:space="preserve">ízení se zahajuje na žádost nebo ex officio, 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Personální rozkaz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91985">
        <w:rPr>
          <w:rFonts w:ascii="Arial" w:hAnsi="Arial" w:cs="Arial"/>
          <w:sz w:val="24"/>
          <w:szCs w:val="24"/>
        </w:rPr>
        <w:t>jednodušená forma rozhodování mimo správní řád,  vydává se z moci úře</w:t>
      </w:r>
      <w:r>
        <w:rPr>
          <w:rFonts w:ascii="Arial" w:hAnsi="Arial" w:cs="Arial"/>
          <w:sz w:val="24"/>
          <w:szCs w:val="24"/>
        </w:rPr>
        <w:t>dní a je prvním úkonem v řízení. R</w:t>
      </w:r>
      <w:r w:rsidRPr="00991985">
        <w:rPr>
          <w:rFonts w:ascii="Arial" w:hAnsi="Arial" w:cs="Arial"/>
          <w:sz w:val="24"/>
          <w:szCs w:val="24"/>
        </w:rPr>
        <w:t xml:space="preserve">ozhodování o zařazení, hodnosti, dispozice, odvelení, přeložení, poskytnutí platu aj. 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91985">
        <w:rPr>
          <w:rFonts w:ascii="Arial" w:hAnsi="Arial" w:cs="Arial"/>
          <w:sz w:val="24"/>
          <w:szCs w:val="24"/>
        </w:rPr>
        <w:t>yhlašuje se ústně nebo doručením, lze se odvolat, do 5 dnů od vyhlášení</w:t>
      </w:r>
      <w:r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Žádosti a stížnosti</w:t>
      </w:r>
    </w:p>
    <w:p w:rsidR="009A0B5A" w:rsidRPr="00991985" w:rsidRDefault="0060365B" w:rsidP="0060365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Podávají se </w:t>
      </w:r>
      <w:r w:rsidRPr="00991985">
        <w:rPr>
          <w:rFonts w:ascii="Arial" w:hAnsi="Arial" w:cs="Arial"/>
          <w:sz w:val="24"/>
          <w:szCs w:val="24"/>
        </w:rPr>
        <w:t>pouze ve věcech výkonu služby a služebních vztahů</w:t>
      </w:r>
      <w:r>
        <w:rPr>
          <w:rFonts w:ascii="Arial" w:hAnsi="Arial" w:cs="Arial"/>
          <w:sz w:val="24"/>
          <w:szCs w:val="24"/>
        </w:rPr>
        <w:t>. P</w:t>
      </w:r>
      <w:r w:rsidRPr="00991985">
        <w:rPr>
          <w:rFonts w:ascii="Arial" w:hAnsi="Arial" w:cs="Arial"/>
          <w:sz w:val="24"/>
          <w:szCs w:val="24"/>
        </w:rPr>
        <w:t>odává se písemně nad</w:t>
      </w:r>
      <w:r>
        <w:rPr>
          <w:rFonts w:ascii="Arial" w:hAnsi="Arial" w:cs="Arial"/>
          <w:sz w:val="24"/>
          <w:szCs w:val="24"/>
        </w:rPr>
        <w:t>řízenému nebo služebnímu orgánu. V</w:t>
      </w:r>
      <w:r w:rsidRPr="00991985">
        <w:rPr>
          <w:rFonts w:ascii="Arial" w:hAnsi="Arial" w:cs="Arial"/>
          <w:sz w:val="24"/>
          <w:szCs w:val="24"/>
        </w:rPr>
        <w:t>yřizuje se podle obsahu buď nadřízeným</w:t>
      </w:r>
      <w:r>
        <w:rPr>
          <w:rFonts w:ascii="Arial" w:hAnsi="Arial" w:cs="Arial"/>
          <w:sz w:val="24"/>
          <w:szCs w:val="24"/>
        </w:rPr>
        <w:t>,</w:t>
      </w:r>
      <w:r w:rsidRPr="00991985">
        <w:rPr>
          <w:rFonts w:ascii="Arial" w:hAnsi="Arial" w:cs="Arial"/>
          <w:sz w:val="24"/>
          <w:szCs w:val="24"/>
        </w:rPr>
        <w:t xml:space="preserve"> nebo sl</w:t>
      </w:r>
      <w:r>
        <w:rPr>
          <w:rFonts w:ascii="Arial" w:hAnsi="Arial" w:cs="Arial"/>
          <w:sz w:val="24"/>
          <w:szCs w:val="24"/>
        </w:rPr>
        <w:t>užebním</w:t>
      </w:r>
      <w:r w:rsidRPr="00991985">
        <w:rPr>
          <w:rFonts w:ascii="Arial" w:hAnsi="Arial" w:cs="Arial"/>
          <w:sz w:val="24"/>
          <w:szCs w:val="24"/>
        </w:rPr>
        <w:t xml:space="preserve"> orgánem, </w:t>
      </w:r>
      <w:r>
        <w:rPr>
          <w:rFonts w:ascii="Arial" w:hAnsi="Arial" w:cs="Arial"/>
          <w:sz w:val="24"/>
          <w:szCs w:val="24"/>
        </w:rPr>
        <w:t>vyřizuje se</w:t>
      </w:r>
      <w:r w:rsidRPr="00991985">
        <w:rPr>
          <w:rFonts w:ascii="Arial" w:hAnsi="Arial" w:cs="Arial"/>
          <w:sz w:val="24"/>
          <w:szCs w:val="24"/>
        </w:rPr>
        <w:t xml:space="preserve"> do 60 dnů</w:t>
      </w:r>
      <w:r>
        <w:rPr>
          <w:rFonts w:ascii="Arial" w:hAnsi="Arial" w:cs="Arial"/>
          <w:sz w:val="24"/>
          <w:szCs w:val="24"/>
        </w:rPr>
        <w:t>.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Výsledek - </w:t>
      </w:r>
      <w:r w:rsidRPr="00991985">
        <w:rPr>
          <w:rFonts w:ascii="Arial" w:hAnsi="Arial" w:cs="Arial"/>
          <w:sz w:val="24"/>
          <w:szCs w:val="24"/>
        </w:rPr>
        <w:t>náprava stavu, oznámení stěžovateli,</w:t>
      </w:r>
    </w:p>
    <w:p w:rsidR="009A0B5A" w:rsidRPr="00991985" w:rsidRDefault="0060365B" w:rsidP="00991985">
      <w:pPr>
        <w:ind w:left="360"/>
        <w:jc w:val="both"/>
        <w:rPr>
          <w:rFonts w:ascii="Arial" w:hAnsi="Arial" w:cs="Arial"/>
          <w:sz w:val="24"/>
          <w:szCs w:val="24"/>
        </w:rPr>
      </w:pPr>
      <w:r w:rsidRPr="00991985">
        <w:rPr>
          <w:rFonts w:ascii="Arial" w:hAnsi="Arial" w:cs="Arial"/>
          <w:sz w:val="24"/>
          <w:szCs w:val="24"/>
        </w:rPr>
        <w:t>kverulant – zastavení řízení.</w:t>
      </w:r>
    </w:p>
    <w:p w:rsidR="00991985" w:rsidRPr="00322E54" w:rsidRDefault="00991985" w:rsidP="00991985">
      <w:pPr>
        <w:jc w:val="both"/>
        <w:rPr>
          <w:rFonts w:ascii="Arial" w:hAnsi="Arial" w:cs="Arial"/>
          <w:sz w:val="24"/>
          <w:szCs w:val="24"/>
        </w:rPr>
      </w:pPr>
    </w:p>
    <w:p w:rsidR="00991985" w:rsidRPr="00322E54" w:rsidRDefault="00991985" w:rsidP="00991985">
      <w:pPr>
        <w:jc w:val="both"/>
        <w:rPr>
          <w:rFonts w:ascii="Arial" w:hAnsi="Arial" w:cs="Arial"/>
          <w:sz w:val="24"/>
          <w:szCs w:val="24"/>
        </w:rPr>
      </w:pPr>
      <w:r w:rsidRPr="00322E54">
        <w:rPr>
          <w:rFonts w:ascii="Arial" w:hAnsi="Arial" w:cs="Arial"/>
          <w:sz w:val="24"/>
          <w:szCs w:val="24"/>
        </w:rPr>
        <w:t>Úkoly pro samostatnou práci:</w:t>
      </w:r>
    </w:p>
    <w:p w:rsidR="00386C18" w:rsidRPr="0060365B" w:rsidRDefault="0060365B">
      <w:pPr>
        <w:rPr>
          <w:rFonts w:ascii="Arial" w:hAnsi="Arial" w:cs="Arial"/>
          <w:sz w:val="24"/>
          <w:szCs w:val="24"/>
        </w:rPr>
      </w:pPr>
      <w:r w:rsidRPr="0060365B">
        <w:rPr>
          <w:rFonts w:ascii="Arial" w:hAnsi="Arial" w:cs="Arial"/>
          <w:sz w:val="24"/>
          <w:szCs w:val="24"/>
        </w:rPr>
        <w:t>Pročíst zákon o vojácích z povolání</w:t>
      </w:r>
    </w:p>
    <w:sectPr w:rsidR="00386C18" w:rsidRPr="0060365B" w:rsidSect="00E629CD"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C" w:rsidRDefault="00C44E7C">
      <w:pPr>
        <w:spacing w:after="0" w:line="240" w:lineRule="auto"/>
      </w:pPr>
      <w:r>
        <w:separator/>
      </w:r>
    </w:p>
  </w:endnote>
  <w:endnote w:type="continuationSeparator" w:id="0">
    <w:p w:rsidR="00C44E7C" w:rsidRDefault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60365B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C44E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60365B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D51BA2" w:rsidRPr="00E629CD" w:rsidRDefault="0060365B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E629CD" w:rsidRDefault="00C44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C" w:rsidRDefault="00C44E7C">
      <w:pPr>
        <w:spacing w:after="0" w:line="240" w:lineRule="auto"/>
      </w:pPr>
      <w:r>
        <w:separator/>
      </w:r>
    </w:p>
  </w:footnote>
  <w:footnote w:type="continuationSeparator" w:id="0">
    <w:p w:rsidR="00C44E7C" w:rsidRDefault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60365B">
    <w:pPr>
      <w:pStyle w:val="Zhlav"/>
    </w:pPr>
    <w:r>
      <w:rPr>
        <w:noProof/>
        <w:lang w:eastAsia="cs-CZ"/>
      </w:rPr>
      <w:drawing>
        <wp:inline distT="0" distB="0" distL="0" distR="0" wp14:anchorId="4751FAC9" wp14:editId="2F0EC4A4">
          <wp:extent cx="5756910" cy="1002030"/>
          <wp:effectExtent l="0" t="0" r="0" b="7620"/>
          <wp:docPr id="1" name="Obrázek 1" descr="logo ESF černobi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 černobi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5FE"/>
    <w:multiLevelType w:val="hybridMultilevel"/>
    <w:tmpl w:val="BBC050EC"/>
    <w:lvl w:ilvl="0" w:tplc="C00E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0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4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E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28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1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5"/>
    <w:rsid w:val="00232E03"/>
    <w:rsid w:val="0060365B"/>
    <w:rsid w:val="00971450"/>
    <w:rsid w:val="00991985"/>
    <w:rsid w:val="009A0B5A"/>
    <w:rsid w:val="009E07D1"/>
    <w:rsid w:val="00C44E7C"/>
    <w:rsid w:val="00CF08E2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98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9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1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9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991985"/>
  </w:style>
  <w:style w:type="paragraph" w:styleId="Textbubliny">
    <w:name w:val="Balloon Text"/>
    <w:basedOn w:val="Normln"/>
    <w:link w:val="TextbublinyChar"/>
    <w:uiPriority w:val="99"/>
    <w:semiHidden/>
    <w:unhideWhenUsed/>
    <w:rsid w:val="0099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98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1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9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1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9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991985"/>
  </w:style>
  <w:style w:type="paragraph" w:styleId="Textbubliny">
    <w:name w:val="Balloon Text"/>
    <w:basedOn w:val="Normln"/>
    <w:link w:val="TextbublinyChar"/>
    <w:uiPriority w:val="99"/>
    <w:semiHidden/>
    <w:unhideWhenUsed/>
    <w:rsid w:val="0099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2</cp:revision>
  <dcterms:created xsi:type="dcterms:W3CDTF">2014-02-06T11:05:00Z</dcterms:created>
  <dcterms:modified xsi:type="dcterms:W3CDTF">2014-02-06T12:41:00Z</dcterms:modified>
</cp:coreProperties>
</file>