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3B" w:rsidRDefault="002D093B" w:rsidP="002D093B">
      <w:pPr>
        <w:jc w:val="both"/>
        <w:rPr>
          <w:szCs w:val="24"/>
        </w:rPr>
      </w:pPr>
    </w:p>
    <w:p w:rsidR="002D093B" w:rsidRPr="00F16F18" w:rsidRDefault="002D093B" w:rsidP="002D093B">
      <w:pPr>
        <w:jc w:val="both"/>
        <w:rPr>
          <w:rFonts w:ascii="Arial" w:hAnsi="Arial" w:cs="Arial"/>
          <w:sz w:val="32"/>
          <w:szCs w:val="32"/>
        </w:rPr>
      </w:pPr>
      <w:r w:rsidRPr="00F16F18">
        <w:rPr>
          <w:rFonts w:ascii="Arial" w:hAnsi="Arial" w:cs="Arial"/>
          <w:sz w:val="32"/>
          <w:szCs w:val="32"/>
        </w:rPr>
        <w:t>Písemná příprava</w:t>
      </w:r>
    </w:p>
    <w:p w:rsidR="002D093B" w:rsidRPr="00103909" w:rsidRDefault="002D093B" w:rsidP="002D093B">
      <w:pPr>
        <w:jc w:val="both"/>
        <w:rPr>
          <w:rFonts w:ascii="Arial" w:hAnsi="Arial" w:cs="Arial"/>
          <w:sz w:val="48"/>
          <w:szCs w:val="48"/>
        </w:rPr>
      </w:pPr>
    </w:p>
    <w:p w:rsidR="002D093B" w:rsidRPr="00F16F18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Název předmětu:</w:t>
      </w:r>
      <w:r>
        <w:rPr>
          <w:rFonts w:ascii="Arial" w:hAnsi="Arial" w:cs="Arial"/>
          <w:b/>
          <w:sz w:val="24"/>
          <w:szCs w:val="24"/>
        </w:rPr>
        <w:t xml:space="preserve"> Základy práva (ZP)</w:t>
      </w:r>
    </w:p>
    <w:p w:rsidR="002D093B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Garant předmětu:</w:t>
      </w:r>
      <w:r>
        <w:rPr>
          <w:rFonts w:ascii="Arial" w:hAnsi="Arial" w:cs="Arial"/>
          <w:b/>
          <w:sz w:val="24"/>
          <w:szCs w:val="24"/>
        </w:rPr>
        <w:t xml:space="preserve"> doc. JUDr. PhDr. Ivo Svoboda, Ph.D.</w:t>
      </w:r>
    </w:p>
    <w:p w:rsidR="002D093B" w:rsidRPr="00F16F18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Zpracoval: Mgr. Tomáš Zbořil</w:t>
      </w:r>
    </w:p>
    <w:p w:rsidR="002D093B" w:rsidRPr="00F87B5F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  <w:r w:rsidRPr="00F87B5F">
        <w:rPr>
          <w:rFonts w:ascii="Arial" w:hAnsi="Arial" w:cs="Arial"/>
          <w:b/>
          <w:sz w:val="24"/>
          <w:szCs w:val="24"/>
        </w:rPr>
        <w:t>Téma:</w:t>
      </w:r>
      <w:r w:rsidRPr="00F87B5F">
        <w:rPr>
          <w:rFonts w:ascii="Arial" w:eastAsia="Times New Roman" w:hAnsi="Arial" w:cs="Arial"/>
          <w:color w:val="000000"/>
          <w:kern w:val="24"/>
          <w:sz w:val="24"/>
          <w:szCs w:val="24"/>
          <w:lang w:eastAsia="cs-CZ"/>
        </w:rPr>
        <w:t xml:space="preserve"> </w:t>
      </w:r>
      <w:r w:rsidRPr="00F87B5F">
        <w:rPr>
          <w:rFonts w:ascii="Arial" w:hAnsi="Arial" w:cs="Arial"/>
          <w:b/>
          <w:sz w:val="24"/>
          <w:szCs w:val="24"/>
        </w:rPr>
        <w:t>ZP_T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Vojenské kázeňské právo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Odpovědnostní vztahy a služební poměr vojáka.</w:t>
      </w:r>
    </w:p>
    <w:p w:rsidR="002D093B" w:rsidRPr="00F16F18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</w:p>
    <w:p w:rsidR="002D093B" w:rsidRPr="00F16F18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Vzdělávací cíl:</w:t>
      </w:r>
      <w:r>
        <w:rPr>
          <w:rFonts w:ascii="Arial" w:hAnsi="Arial" w:cs="Arial"/>
          <w:b/>
          <w:sz w:val="24"/>
          <w:szCs w:val="24"/>
        </w:rPr>
        <w:t xml:space="preserve"> Prohloubit znalosti studentek a studentů v problematice služebního poměru. Dále seznámit studentky a studenty se základními pravidly pro </w:t>
      </w:r>
      <w:r>
        <w:rPr>
          <w:rFonts w:ascii="Arial" w:hAnsi="Arial" w:cs="Arial"/>
          <w:b/>
          <w:sz w:val="24"/>
          <w:szCs w:val="24"/>
        </w:rPr>
        <w:t>rozhodování o přestupcích a odpovědnosti za škodu</w:t>
      </w:r>
      <w:r>
        <w:rPr>
          <w:rFonts w:ascii="Arial" w:hAnsi="Arial" w:cs="Arial"/>
          <w:b/>
          <w:sz w:val="24"/>
          <w:szCs w:val="24"/>
        </w:rPr>
        <w:t>.</w:t>
      </w:r>
    </w:p>
    <w:p w:rsidR="002D093B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Obsah: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093B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Kázeňská pravomoc, rozhodování o přestupcích</w:t>
      </w:r>
    </w:p>
    <w:p w:rsidR="002D093B" w:rsidRDefault="002D093B" w:rsidP="002D09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Odpovědnost za škodu</w:t>
      </w:r>
    </w:p>
    <w:p w:rsidR="002D093B" w:rsidRPr="0046513F" w:rsidRDefault="002D093B" w:rsidP="002D093B">
      <w:pPr>
        <w:jc w:val="both"/>
        <w:rPr>
          <w:rFonts w:ascii="Arial" w:hAnsi="Arial" w:cs="Arial"/>
          <w:sz w:val="24"/>
          <w:szCs w:val="24"/>
        </w:rPr>
      </w:pPr>
    </w:p>
    <w:p w:rsidR="00000000" w:rsidRPr="0076130D" w:rsidRDefault="0076130D" w:rsidP="002D093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6130D">
        <w:rPr>
          <w:rFonts w:ascii="Arial" w:hAnsi="Arial" w:cs="Arial"/>
          <w:b/>
          <w:sz w:val="24"/>
          <w:szCs w:val="24"/>
        </w:rPr>
        <w:t xml:space="preserve">1. </w:t>
      </w:r>
      <w:r w:rsidR="006B5FEF" w:rsidRPr="0076130D">
        <w:rPr>
          <w:rFonts w:ascii="Arial" w:hAnsi="Arial" w:cs="Arial"/>
          <w:b/>
          <w:sz w:val="24"/>
          <w:szCs w:val="24"/>
        </w:rPr>
        <w:t>Kázeňská pravomoc</w:t>
      </w:r>
    </w:p>
    <w:p w:rsidR="00000000" w:rsidRPr="002D093B" w:rsidRDefault="002D093B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B5FEF" w:rsidRPr="002D093B">
        <w:rPr>
          <w:rFonts w:ascii="Arial" w:hAnsi="Arial" w:cs="Arial"/>
          <w:sz w:val="24"/>
          <w:szCs w:val="24"/>
        </w:rPr>
        <w:t>edná se o právo udělovat odměny a tresty,</w:t>
      </w:r>
    </w:p>
    <w:p w:rsidR="00000000" w:rsidRPr="002D093B" w:rsidRDefault="002D093B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B5FEF" w:rsidRPr="002D093B">
        <w:rPr>
          <w:rFonts w:ascii="Arial" w:hAnsi="Arial" w:cs="Arial"/>
          <w:sz w:val="24"/>
          <w:szCs w:val="24"/>
        </w:rPr>
        <w:t xml:space="preserve">ázeňskou pravomoc mají </w:t>
      </w:r>
      <w:r>
        <w:rPr>
          <w:rFonts w:ascii="Arial" w:hAnsi="Arial" w:cs="Arial"/>
          <w:sz w:val="24"/>
          <w:szCs w:val="24"/>
        </w:rPr>
        <w:t xml:space="preserve">v plném rozsahu </w:t>
      </w:r>
      <w:r w:rsidR="006B5FEF" w:rsidRPr="002D093B">
        <w:rPr>
          <w:rFonts w:ascii="Arial" w:hAnsi="Arial" w:cs="Arial"/>
          <w:sz w:val="24"/>
          <w:szCs w:val="24"/>
        </w:rPr>
        <w:t>prezident a ministr</w:t>
      </w:r>
      <w:r>
        <w:rPr>
          <w:rFonts w:ascii="Arial" w:hAnsi="Arial" w:cs="Arial"/>
          <w:sz w:val="24"/>
          <w:szCs w:val="24"/>
        </w:rPr>
        <w:t xml:space="preserve"> obrany</w:t>
      </w:r>
      <w:r w:rsidR="006B5FEF" w:rsidRPr="002D093B">
        <w:rPr>
          <w:rFonts w:ascii="Arial" w:hAnsi="Arial" w:cs="Arial"/>
          <w:sz w:val="24"/>
          <w:szCs w:val="24"/>
        </w:rPr>
        <w:t xml:space="preserve">, dále ostatní nadřízení stanovení v základním vojenském řádu, </w:t>
      </w:r>
      <w:r w:rsidR="006B5FEF" w:rsidRPr="002D093B">
        <w:rPr>
          <w:rFonts w:ascii="Arial" w:hAnsi="Arial" w:cs="Arial"/>
          <w:sz w:val="24"/>
          <w:szCs w:val="24"/>
        </w:rPr>
        <w:t xml:space="preserve">podrobná úprava </w:t>
      </w:r>
      <w:r w:rsidR="006B5FEF" w:rsidRPr="002D093B">
        <w:rPr>
          <w:rFonts w:ascii="Arial" w:hAnsi="Arial" w:cs="Arial"/>
          <w:sz w:val="24"/>
          <w:szCs w:val="24"/>
        </w:rPr>
        <w:t xml:space="preserve">je v Zákl-1, Základním řádu ozbrojených sil ČR, čl. 99 – 233, </w:t>
      </w:r>
      <w:proofErr w:type="spellStart"/>
      <w:r w:rsidR="006B5FEF" w:rsidRPr="002D093B">
        <w:rPr>
          <w:rFonts w:ascii="Arial" w:hAnsi="Arial" w:cs="Arial"/>
          <w:sz w:val="24"/>
          <w:szCs w:val="24"/>
        </w:rPr>
        <w:t>příl</w:t>
      </w:r>
      <w:proofErr w:type="spellEnd"/>
      <w:r w:rsidR="006B5FEF" w:rsidRPr="002D093B">
        <w:rPr>
          <w:rFonts w:ascii="Arial" w:hAnsi="Arial" w:cs="Arial"/>
          <w:sz w:val="24"/>
          <w:szCs w:val="24"/>
        </w:rPr>
        <w:t>. 6 – 19,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Vojenská kázeň spočívá v řádném plnění povinností vojáka,</w:t>
      </w:r>
    </w:p>
    <w:p w:rsidR="00000000" w:rsidRPr="002D093B" w:rsidRDefault="006B5FEF" w:rsidP="0076130D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Kázeňsk</w:t>
      </w:r>
      <w:r w:rsidR="0076130D">
        <w:rPr>
          <w:rFonts w:ascii="Arial" w:hAnsi="Arial" w:cs="Arial"/>
          <w:sz w:val="24"/>
          <w:szCs w:val="24"/>
        </w:rPr>
        <w:t>é</w:t>
      </w:r>
      <w:r w:rsidRPr="002D093B">
        <w:rPr>
          <w:rFonts w:ascii="Arial" w:hAnsi="Arial" w:cs="Arial"/>
          <w:sz w:val="24"/>
          <w:szCs w:val="24"/>
        </w:rPr>
        <w:t xml:space="preserve"> přestup</w:t>
      </w:r>
      <w:r w:rsidRPr="002D093B">
        <w:rPr>
          <w:rFonts w:ascii="Arial" w:hAnsi="Arial" w:cs="Arial"/>
          <w:sz w:val="24"/>
          <w:szCs w:val="24"/>
        </w:rPr>
        <w:t>k</w:t>
      </w:r>
      <w:r w:rsidR="0076130D">
        <w:rPr>
          <w:rFonts w:ascii="Arial" w:hAnsi="Arial" w:cs="Arial"/>
          <w:sz w:val="24"/>
          <w:szCs w:val="24"/>
        </w:rPr>
        <w:t>y – rozlišují se d</w:t>
      </w:r>
      <w:r w:rsidRPr="002D093B">
        <w:rPr>
          <w:rFonts w:ascii="Arial" w:hAnsi="Arial" w:cs="Arial"/>
          <w:sz w:val="24"/>
          <w:szCs w:val="24"/>
        </w:rPr>
        <w:t xml:space="preserve">va druhy </w:t>
      </w:r>
      <w:r w:rsidR="0076130D">
        <w:rPr>
          <w:rFonts w:ascii="Arial" w:hAnsi="Arial" w:cs="Arial"/>
          <w:sz w:val="24"/>
          <w:szCs w:val="24"/>
        </w:rPr>
        <w:t>–</w:t>
      </w:r>
      <w:r w:rsidRPr="002D093B">
        <w:rPr>
          <w:rFonts w:ascii="Arial" w:hAnsi="Arial" w:cs="Arial"/>
          <w:sz w:val="24"/>
          <w:szCs w:val="24"/>
        </w:rPr>
        <w:t xml:space="preserve"> </w:t>
      </w:r>
      <w:r w:rsidR="0076130D">
        <w:rPr>
          <w:rFonts w:ascii="Arial" w:hAnsi="Arial" w:cs="Arial"/>
          <w:sz w:val="24"/>
          <w:szCs w:val="24"/>
        </w:rPr>
        <w:t xml:space="preserve">podle </w:t>
      </w:r>
      <w:r w:rsidRPr="002D093B">
        <w:rPr>
          <w:rFonts w:ascii="Arial" w:hAnsi="Arial" w:cs="Arial"/>
          <w:sz w:val="24"/>
          <w:szCs w:val="24"/>
        </w:rPr>
        <w:t>§ 51 odst. 1 a odst. 2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lastRenderedPageBreak/>
        <w:t xml:space="preserve">Kázeňský přestupek </w:t>
      </w:r>
      <w:r w:rsidR="0076130D">
        <w:rPr>
          <w:rFonts w:ascii="Arial" w:hAnsi="Arial" w:cs="Arial"/>
          <w:sz w:val="24"/>
          <w:szCs w:val="24"/>
        </w:rPr>
        <w:t xml:space="preserve">podle odst. 1 </w:t>
      </w:r>
      <w:r w:rsidRPr="002D093B">
        <w:rPr>
          <w:rFonts w:ascii="Arial" w:hAnsi="Arial" w:cs="Arial"/>
          <w:sz w:val="24"/>
          <w:szCs w:val="24"/>
        </w:rPr>
        <w:t>– zaviněné jednání v rozporu s právními n</w:t>
      </w:r>
      <w:r w:rsidRPr="002D093B">
        <w:rPr>
          <w:rFonts w:ascii="Arial" w:hAnsi="Arial" w:cs="Arial"/>
          <w:sz w:val="24"/>
          <w:szCs w:val="24"/>
        </w:rPr>
        <w:t>ebo vnitřními předpisy a rozkazy, nejde-li o trestný čin (vojenský přestupek),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Kázeňský přestupek</w:t>
      </w:r>
      <w:r w:rsidR="0076130D">
        <w:rPr>
          <w:rFonts w:ascii="Arial" w:hAnsi="Arial" w:cs="Arial"/>
          <w:sz w:val="24"/>
          <w:szCs w:val="24"/>
        </w:rPr>
        <w:t xml:space="preserve"> podle odst. 2</w:t>
      </w:r>
      <w:r w:rsidRPr="002D093B">
        <w:rPr>
          <w:rFonts w:ascii="Arial" w:hAnsi="Arial" w:cs="Arial"/>
          <w:sz w:val="24"/>
          <w:szCs w:val="24"/>
        </w:rPr>
        <w:t xml:space="preserve"> – jednání vojáka označené za přestupek podle zvláštních zákonů, sankce podle těchto zákonů,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Kázeňské odměny</w:t>
      </w:r>
    </w:p>
    <w:p w:rsidR="00000000" w:rsidRPr="002D093B" w:rsidRDefault="0076130D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Udělují se </w:t>
      </w:r>
      <w:r w:rsidR="006B5FEF" w:rsidRPr="002D093B">
        <w:rPr>
          <w:rFonts w:ascii="Arial" w:hAnsi="Arial" w:cs="Arial"/>
          <w:sz w:val="24"/>
          <w:szCs w:val="24"/>
        </w:rPr>
        <w:t>za příkladné plnění povinností nebo za záslužné činy (vykonání hrdinského skutku, projev statečnosti při zác</w:t>
      </w:r>
      <w:r w:rsidR="006B5FEF" w:rsidRPr="002D093B">
        <w:rPr>
          <w:rFonts w:ascii="Arial" w:hAnsi="Arial" w:cs="Arial"/>
          <w:sz w:val="24"/>
          <w:szCs w:val="24"/>
        </w:rPr>
        <w:t>hraně života),</w:t>
      </w:r>
      <w:r>
        <w:rPr>
          <w:rFonts w:ascii="Arial" w:hAnsi="Arial" w:cs="Arial"/>
          <w:sz w:val="24"/>
          <w:szCs w:val="24"/>
        </w:rPr>
        <w:t xml:space="preserve"> rozlišují se následující druhy odměn:</w:t>
      </w:r>
    </w:p>
    <w:p w:rsidR="00000000" w:rsidRPr="0076130D" w:rsidRDefault="006B5FEF" w:rsidP="007613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130D">
        <w:rPr>
          <w:rFonts w:ascii="Arial" w:hAnsi="Arial" w:cs="Arial"/>
          <w:sz w:val="24"/>
          <w:szCs w:val="24"/>
        </w:rPr>
        <w:t>písemná pochvala,</w:t>
      </w:r>
    </w:p>
    <w:p w:rsidR="00000000" w:rsidRPr="0076130D" w:rsidRDefault="006B5FEF" w:rsidP="007613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130D">
        <w:rPr>
          <w:rFonts w:ascii="Arial" w:hAnsi="Arial" w:cs="Arial"/>
          <w:sz w:val="24"/>
          <w:szCs w:val="24"/>
        </w:rPr>
        <w:t>prominutí dříve uloženého kázeňského trestu nebo jeho zahlazení,</w:t>
      </w:r>
    </w:p>
    <w:p w:rsidR="00000000" w:rsidRPr="0076130D" w:rsidRDefault="006B5FEF" w:rsidP="007613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130D">
        <w:rPr>
          <w:rFonts w:ascii="Arial" w:hAnsi="Arial" w:cs="Arial"/>
          <w:sz w:val="24"/>
          <w:szCs w:val="24"/>
        </w:rPr>
        <w:t>peněžitý nebo věcný dar,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Kázeňské tresty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Ukládají se za kázeňské přestupky podle § 5</w:t>
      </w:r>
      <w:r w:rsidRPr="002D093B">
        <w:rPr>
          <w:rFonts w:ascii="Arial" w:hAnsi="Arial" w:cs="Arial"/>
          <w:sz w:val="24"/>
          <w:szCs w:val="24"/>
        </w:rPr>
        <w:t>1</w:t>
      </w:r>
      <w:r w:rsidR="0076130D">
        <w:rPr>
          <w:rFonts w:ascii="Arial" w:hAnsi="Arial" w:cs="Arial"/>
          <w:sz w:val="24"/>
          <w:szCs w:val="24"/>
        </w:rPr>
        <w:t xml:space="preserve"> odst. </w:t>
      </w:r>
      <w:r w:rsidRPr="002D093B">
        <w:rPr>
          <w:rFonts w:ascii="Arial" w:hAnsi="Arial" w:cs="Arial"/>
          <w:sz w:val="24"/>
          <w:szCs w:val="24"/>
        </w:rPr>
        <w:t>1</w:t>
      </w:r>
      <w:r w:rsidR="0076130D">
        <w:rPr>
          <w:rFonts w:ascii="Arial" w:hAnsi="Arial" w:cs="Arial"/>
          <w:sz w:val="24"/>
          <w:szCs w:val="24"/>
        </w:rPr>
        <w:t>, zákon stanoví tyto druhy:</w:t>
      </w:r>
    </w:p>
    <w:p w:rsidR="00000000" w:rsidRPr="0076130D" w:rsidRDefault="006B5FEF" w:rsidP="007613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130D">
        <w:rPr>
          <w:rFonts w:ascii="Arial" w:hAnsi="Arial" w:cs="Arial"/>
          <w:sz w:val="24"/>
          <w:szCs w:val="24"/>
        </w:rPr>
        <w:t>napomenutí,</w:t>
      </w:r>
    </w:p>
    <w:p w:rsidR="00000000" w:rsidRPr="0076130D" w:rsidRDefault="006B5FEF" w:rsidP="007613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130D">
        <w:rPr>
          <w:rFonts w:ascii="Arial" w:hAnsi="Arial" w:cs="Arial"/>
          <w:sz w:val="24"/>
          <w:szCs w:val="24"/>
        </w:rPr>
        <w:t>písemná důtka,</w:t>
      </w:r>
    </w:p>
    <w:p w:rsidR="00000000" w:rsidRPr="0076130D" w:rsidRDefault="006B5FEF" w:rsidP="007613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130D">
        <w:rPr>
          <w:rFonts w:ascii="Arial" w:hAnsi="Arial" w:cs="Arial"/>
          <w:sz w:val="24"/>
          <w:szCs w:val="24"/>
        </w:rPr>
        <w:t>výstraha pro neodpovědný vý</w:t>
      </w:r>
      <w:r w:rsidRPr="0076130D">
        <w:rPr>
          <w:rFonts w:ascii="Arial" w:hAnsi="Arial" w:cs="Arial"/>
          <w:sz w:val="24"/>
          <w:szCs w:val="24"/>
        </w:rPr>
        <w:t>kon služby,</w:t>
      </w:r>
    </w:p>
    <w:p w:rsidR="00000000" w:rsidRPr="0076130D" w:rsidRDefault="006B5FEF" w:rsidP="007613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130D">
        <w:rPr>
          <w:rFonts w:ascii="Arial" w:hAnsi="Arial" w:cs="Arial"/>
          <w:sz w:val="24"/>
          <w:szCs w:val="24"/>
        </w:rPr>
        <w:t>snížení platu až o 15 % až na dobu 6 měsíců,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Ukládání trestů</w:t>
      </w:r>
    </w:p>
    <w:p w:rsidR="00000000" w:rsidRPr="002D093B" w:rsidRDefault="006B5FEF" w:rsidP="0076130D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Před uložením trestu musí být úplně a přesně zjištěn skutkový stav,</w:t>
      </w:r>
      <w:r w:rsidR="0076130D">
        <w:rPr>
          <w:rFonts w:ascii="Arial" w:hAnsi="Arial" w:cs="Arial"/>
          <w:sz w:val="24"/>
          <w:szCs w:val="24"/>
        </w:rPr>
        <w:t xml:space="preserve"> v</w:t>
      </w:r>
      <w:r w:rsidRPr="002D093B">
        <w:rPr>
          <w:rFonts w:ascii="Arial" w:hAnsi="Arial" w:cs="Arial"/>
          <w:sz w:val="24"/>
          <w:szCs w:val="24"/>
        </w:rPr>
        <w:t>oják má právo vyjádřit se k věci, navrhovat důkazy, hájit se i nechat se zastupovat,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Při rozhodování se přihlíží k povaze přestupku, k okolnostem, následkům, zavi</w:t>
      </w:r>
      <w:r w:rsidRPr="002D093B">
        <w:rPr>
          <w:rFonts w:ascii="Arial" w:hAnsi="Arial" w:cs="Arial"/>
          <w:sz w:val="24"/>
          <w:szCs w:val="24"/>
        </w:rPr>
        <w:t>nění, dosavadní bezúhonnosti a případným trestům,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Lhůty</w:t>
      </w:r>
    </w:p>
    <w:p w:rsidR="00000000" w:rsidRPr="002D093B" w:rsidRDefault="006B5FEF" w:rsidP="0076130D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Trest lze uložit nejdříve 24 hodin po jeho spáchání (lhůta na „vychl</w:t>
      </w:r>
      <w:r w:rsidRPr="002D093B">
        <w:rPr>
          <w:rFonts w:ascii="Arial" w:hAnsi="Arial" w:cs="Arial"/>
          <w:sz w:val="24"/>
          <w:szCs w:val="24"/>
        </w:rPr>
        <w:t>adnutí“ velitele),</w:t>
      </w:r>
      <w:r w:rsidR="0076130D">
        <w:rPr>
          <w:rFonts w:ascii="Arial" w:hAnsi="Arial" w:cs="Arial"/>
          <w:sz w:val="24"/>
          <w:szCs w:val="24"/>
        </w:rPr>
        <w:t xml:space="preserve"> t</w:t>
      </w:r>
      <w:r w:rsidRPr="002D093B">
        <w:rPr>
          <w:rFonts w:ascii="Arial" w:hAnsi="Arial" w:cs="Arial"/>
          <w:sz w:val="24"/>
          <w:szCs w:val="24"/>
        </w:rPr>
        <w:t>rest lze uložit nejpozději do 60 dnů ode dne, kdy se o jeho spáchání velitel dověděl, nejpozději však do jednoho roku od jeho spáchání</w:t>
      </w:r>
      <w:r w:rsidR="0076130D">
        <w:rPr>
          <w:rFonts w:ascii="Arial" w:hAnsi="Arial" w:cs="Arial"/>
          <w:sz w:val="24"/>
          <w:szCs w:val="24"/>
        </w:rPr>
        <w:t>. P</w:t>
      </w:r>
      <w:r w:rsidRPr="002D093B">
        <w:rPr>
          <w:rFonts w:ascii="Arial" w:hAnsi="Arial" w:cs="Arial"/>
          <w:sz w:val="24"/>
          <w:szCs w:val="24"/>
        </w:rPr>
        <w:t>okud bylo jednání vojáka šetřeno např. V</w:t>
      </w:r>
      <w:r w:rsidR="0076130D">
        <w:rPr>
          <w:rFonts w:ascii="Arial" w:hAnsi="Arial" w:cs="Arial"/>
          <w:sz w:val="24"/>
          <w:szCs w:val="24"/>
        </w:rPr>
        <w:t>ojenskou policií</w:t>
      </w:r>
      <w:r w:rsidRPr="002D093B">
        <w:rPr>
          <w:rFonts w:ascii="Arial" w:hAnsi="Arial" w:cs="Arial"/>
          <w:sz w:val="24"/>
          <w:szCs w:val="24"/>
        </w:rPr>
        <w:t>, začne lhůta 60 dnů běžet ode dne, kdy se velitel dověděl výsledky šetření.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Rozhodnutí o uložení trestu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Kázeňský trest ukládá příslušný orgán písemným rozhodnutím, které musí být doručeno</w:t>
      </w:r>
      <w:r w:rsidR="0076130D">
        <w:rPr>
          <w:rFonts w:ascii="Arial" w:hAnsi="Arial" w:cs="Arial"/>
          <w:sz w:val="24"/>
          <w:szCs w:val="24"/>
        </w:rPr>
        <w:t>.</w:t>
      </w:r>
    </w:p>
    <w:p w:rsidR="00000000" w:rsidRPr="002D093B" w:rsidRDefault="006B5FEF" w:rsidP="0076130D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 xml:space="preserve">Proti </w:t>
      </w:r>
      <w:r w:rsidRPr="002D093B">
        <w:rPr>
          <w:rFonts w:ascii="Arial" w:hAnsi="Arial" w:cs="Arial"/>
          <w:sz w:val="24"/>
          <w:szCs w:val="24"/>
        </w:rPr>
        <w:t>rozhodnutí lze podat odvolání do 15 dnů od doručení (lhůta začíná následující den)</w:t>
      </w:r>
      <w:r w:rsidR="0076130D">
        <w:rPr>
          <w:rFonts w:ascii="Arial" w:hAnsi="Arial" w:cs="Arial"/>
          <w:sz w:val="24"/>
          <w:szCs w:val="24"/>
        </w:rPr>
        <w:t xml:space="preserve">. </w:t>
      </w:r>
      <w:r w:rsidRPr="002D093B">
        <w:rPr>
          <w:rFonts w:ascii="Arial" w:hAnsi="Arial" w:cs="Arial"/>
          <w:sz w:val="24"/>
          <w:szCs w:val="24"/>
        </w:rPr>
        <w:t>Odvolání se podává nadřízenému toho, kdo o trestu rozhodl, rozhodnutí do 30 dnů</w:t>
      </w:r>
      <w:r w:rsidR="0076130D">
        <w:rPr>
          <w:rFonts w:ascii="Arial" w:hAnsi="Arial" w:cs="Arial"/>
          <w:sz w:val="24"/>
          <w:szCs w:val="24"/>
        </w:rPr>
        <w:t xml:space="preserve">. </w:t>
      </w:r>
      <w:r w:rsidRPr="002D093B">
        <w:rPr>
          <w:rFonts w:ascii="Arial" w:hAnsi="Arial" w:cs="Arial"/>
          <w:sz w:val="24"/>
          <w:szCs w:val="24"/>
        </w:rPr>
        <w:t>Nelze se odvolat proti rozhodnutí prezidenta</w:t>
      </w:r>
      <w:r w:rsidR="0076130D">
        <w:rPr>
          <w:rFonts w:ascii="Arial" w:hAnsi="Arial" w:cs="Arial"/>
          <w:sz w:val="24"/>
          <w:szCs w:val="24"/>
        </w:rPr>
        <w:t xml:space="preserve"> republiky. </w:t>
      </w:r>
    </w:p>
    <w:p w:rsidR="00000000" w:rsidRPr="0076130D" w:rsidRDefault="0076130D" w:rsidP="002D093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6130D">
        <w:rPr>
          <w:rFonts w:ascii="Arial" w:hAnsi="Arial" w:cs="Arial"/>
          <w:b/>
          <w:sz w:val="24"/>
          <w:szCs w:val="24"/>
        </w:rPr>
        <w:lastRenderedPageBreak/>
        <w:t xml:space="preserve">2. Odpovědnost za škodu. </w:t>
      </w:r>
      <w:r w:rsidR="006B5FEF" w:rsidRPr="0076130D">
        <w:rPr>
          <w:rFonts w:ascii="Arial" w:hAnsi="Arial" w:cs="Arial"/>
          <w:b/>
          <w:sz w:val="24"/>
          <w:szCs w:val="24"/>
        </w:rPr>
        <w:t>Náhrada škody</w:t>
      </w:r>
    </w:p>
    <w:p w:rsidR="00000000" w:rsidRPr="002D093B" w:rsidRDefault="006B5FEF" w:rsidP="0076130D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Rozlišuje se odpovědnos</w:t>
      </w:r>
      <w:r w:rsidRPr="002D093B">
        <w:rPr>
          <w:rFonts w:ascii="Arial" w:hAnsi="Arial" w:cs="Arial"/>
          <w:sz w:val="24"/>
          <w:szCs w:val="24"/>
        </w:rPr>
        <w:t>t vojáka za škodu způsobenou státu a odpovědnost stá</w:t>
      </w:r>
      <w:r w:rsidR="0076130D">
        <w:rPr>
          <w:rFonts w:ascii="Arial" w:hAnsi="Arial" w:cs="Arial"/>
          <w:sz w:val="24"/>
          <w:szCs w:val="24"/>
        </w:rPr>
        <w:t>tu za škodu způsobenou vojákovi. Obdobná právní úprava jako v zákoníku práce.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Objasň</w:t>
      </w:r>
      <w:r w:rsidRPr="002D093B">
        <w:rPr>
          <w:rFonts w:ascii="Arial" w:hAnsi="Arial" w:cs="Arial"/>
          <w:sz w:val="24"/>
          <w:szCs w:val="24"/>
        </w:rPr>
        <w:t xml:space="preserve">ování škod se </w:t>
      </w:r>
      <w:r w:rsidR="0076130D">
        <w:rPr>
          <w:rFonts w:ascii="Arial" w:hAnsi="Arial" w:cs="Arial"/>
          <w:sz w:val="24"/>
          <w:szCs w:val="24"/>
        </w:rPr>
        <w:t xml:space="preserve">v rezortu ministerstva obrany </w:t>
      </w:r>
      <w:r w:rsidRPr="002D093B">
        <w:rPr>
          <w:rFonts w:ascii="Arial" w:hAnsi="Arial" w:cs="Arial"/>
          <w:sz w:val="24"/>
          <w:szCs w:val="24"/>
        </w:rPr>
        <w:t>řídí podle vnitřního předpisu RMO</w:t>
      </w:r>
      <w:r w:rsidR="00AB629C">
        <w:rPr>
          <w:rFonts w:ascii="Arial" w:hAnsi="Arial" w:cs="Arial"/>
          <w:sz w:val="24"/>
          <w:szCs w:val="24"/>
        </w:rPr>
        <w:t xml:space="preserve"> č.</w:t>
      </w:r>
      <w:r w:rsidRPr="002D093B">
        <w:rPr>
          <w:rFonts w:ascii="Arial" w:hAnsi="Arial" w:cs="Arial"/>
          <w:sz w:val="24"/>
          <w:szCs w:val="24"/>
        </w:rPr>
        <w:t xml:space="preserve"> 47/2013 Věstníku </w:t>
      </w:r>
      <w:r w:rsidRPr="002D093B">
        <w:rPr>
          <w:rFonts w:ascii="Arial" w:hAnsi="Arial" w:cs="Arial"/>
          <w:i/>
          <w:iCs/>
          <w:sz w:val="24"/>
          <w:szCs w:val="24"/>
        </w:rPr>
        <w:t>Předcházení škodám a řešení škod na majetku státu v působnosti Ministerstva obrany</w:t>
      </w:r>
      <w:r w:rsidRPr="002D093B">
        <w:rPr>
          <w:rFonts w:ascii="Arial" w:hAnsi="Arial" w:cs="Arial"/>
          <w:sz w:val="24"/>
          <w:szCs w:val="24"/>
        </w:rPr>
        <w:t xml:space="preserve">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 xml:space="preserve">Odpovědnost </w:t>
      </w:r>
      <w:r w:rsidR="00AB629C">
        <w:rPr>
          <w:rFonts w:ascii="Arial" w:hAnsi="Arial" w:cs="Arial"/>
          <w:sz w:val="24"/>
          <w:szCs w:val="24"/>
        </w:rPr>
        <w:t xml:space="preserve">za škodu vzniká jako sekundární povinnost následkem porušení primární povinnosti. Základní povinností zaměstnance je chovat se tak, aby nedocházelo ke škodám.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K stanovení odpovědnosti musí být naplněny základní podmínky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A. protiprávní jednání</w:t>
      </w:r>
      <w:r w:rsidR="00AB629C">
        <w:rPr>
          <w:rFonts w:ascii="Arial" w:hAnsi="Arial" w:cs="Arial"/>
          <w:sz w:val="24"/>
          <w:szCs w:val="24"/>
        </w:rPr>
        <w:t xml:space="preserve"> (úkon)</w:t>
      </w:r>
      <w:r w:rsidRPr="002D093B">
        <w:rPr>
          <w:rFonts w:ascii="Arial" w:hAnsi="Arial" w:cs="Arial"/>
          <w:sz w:val="24"/>
          <w:szCs w:val="24"/>
        </w:rPr>
        <w:t>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2D093B">
        <w:rPr>
          <w:rFonts w:ascii="Arial" w:hAnsi="Arial" w:cs="Arial"/>
          <w:sz w:val="24"/>
          <w:szCs w:val="24"/>
        </w:rPr>
        <w:t>vznik</w:t>
      </w:r>
      <w:proofErr w:type="gramEnd"/>
      <w:r w:rsidRPr="002D093B">
        <w:rPr>
          <w:rFonts w:ascii="Arial" w:hAnsi="Arial" w:cs="Arial"/>
          <w:sz w:val="24"/>
          <w:szCs w:val="24"/>
        </w:rPr>
        <w:t xml:space="preserve"> škody,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C. příčinná souvislost mezi A. a B.,</w:t>
      </w:r>
    </w:p>
    <w:p w:rsidR="00000000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D. z</w:t>
      </w:r>
      <w:r w:rsidRPr="002D093B">
        <w:rPr>
          <w:rFonts w:ascii="Arial" w:hAnsi="Arial" w:cs="Arial"/>
          <w:sz w:val="24"/>
          <w:szCs w:val="24"/>
        </w:rPr>
        <w:t>avinění</w:t>
      </w:r>
      <w:r w:rsidR="00AB629C">
        <w:rPr>
          <w:rFonts w:ascii="Arial" w:hAnsi="Arial" w:cs="Arial"/>
          <w:sz w:val="24"/>
          <w:szCs w:val="24"/>
        </w:rPr>
        <w:t>.</w:t>
      </w:r>
    </w:p>
    <w:p w:rsidR="00AB629C" w:rsidRPr="002D093B" w:rsidRDefault="00AB629C" w:rsidP="002D093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0000" w:rsidRPr="002D093B" w:rsidRDefault="00AB629C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AB629C">
        <w:rPr>
          <w:rFonts w:ascii="Arial" w:hAnsi="Arial" w:cs="Arial"/>
          <w:b/>
          <w:sz w:val="24"/>
          <w:szCs w:val="24"/>
        </w:rPr>
        <w:t>A</w:t>
      </w:r>
      <w:r w:rsidR="006B5FEF" w:rsidRPr="00AB6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1.</w:t>
      </w:r>
      <w:r w:rsidR="006B5FEF" w:rsidRPr="002D093B">
        <w:rPr>
          <w:rFonts w:ascii="Arial" w:hAnsi="Arial" w:cs="Arial"/>
          <w:sz w:val="24"/>
          <w:szCs w:val="24"/>
        </w:rPr>
        <w:t xml:space="preserve"> </w:t>
      </w:r>
      <w:r w:rsidR="006B5FEF" w:rsidRPr="002D093B">
        <w:rPr>
          <w:rFonts w:ascii="Arial" w:hAnsi="Arial" w:cs="Arial"/>
          <w:b/>
          <w:bCs/>
          <w:sz w:val="24"/>
          <w:szCs w:val="24"/>
        </w:rPr>
        <w:t xml:space="preserve">Protiprávním úkonem </w:t>
      </w:r>
      <w:r w:rsidR="006B5FEF" w:rsidRPr="002D093B">
        <w:rPr>
          <w:rFonts w:ascii="Arial" w:hAnsi="Arial" w:cs="Arial"/>
          <w:sz w:val="24"/>
          <w:szCs w:val="24"/>
        </w:rPr>
        <w:t xml:space="preserve">se rozumí jednání (konání </w:t>
      </w:r>
      <w:r w:rsidR="006B5FEF" w:rsidRPr="002D093B">
        <w:rPr>
          <w:rFonts w:ascii="Arial" w:hAnsi="Arial" w:cs="Arial"/>
          <w:sz w:val="24"/>
          <w:szCs w:val="24"/>
        </w:rPr>
        <w:t xml:space="preserve">nebo opomenutí), kterým byla porušena právní povinnost. Přitom není rozhodné, zda jde o porušení zákonné povinnosti, nebo zda jde o porušení povinnosti vyplývající ze smlouvy. Podstatný je rozpor tohoto úkonu s objektivním právem.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2. Za protiprávní úkon se považuje též obcházení právních předpisů,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3. Opomenutí je protiprávním úkonem jen tehdy, jde-li o opomenutí povinnosti (je</w:t>
      </w:r>
      <w:r w:rsidRPr="002D093B">
        <w:rPr>
          <w:rFonts w:ascii="Arial" w:hAnsi="Arial" w:cs="Arial"/>
          <w:sz w:val="24"/>
          <w:szCs w:val="24"/>
        </w:rPr>
        <w:t xml:space="preserve">dnání), k níž byla odpovědná osoba povinna.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4. Protiprávním úkonem je i porušení vnitřního předpisu nebo řídícího aktu nebo konkrétního pokynu nadřízeného, pokud současně představuje i jedn</w:t>
      </w:r>
      <w:r w:rsidRPr="002D093B">
        <w:rPr>
          <w:rFonts w:ascii="Arial" w:hAnsi="Arial" w:cs="Arial"/>
          <w:sz w:val="24"/>
          <w:szCs w:val="24"/>
        </w:rPr>
        <w:t xml:space="preserve">ání, které je v rozporu s konkrétním ustanovením právního předpisu.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5. Protiprávními úkony nejsou úkony, které objektivní právo povoluje, nebo dokonce přikazuje provést. Jedná se o okolnost</w:t>
      </w:r>
      <w:r w:rsidRPr="002D093B">
        <w:rPr>
          <w:rFonts w:ascii="Arial" w:hAnsi="Arial" w:cs="Arial"/>
          <w:sz w:val="24"/>
          <w:szCs w:val="24"/>
        </w:rPr>
        <w:t xml:space="preserve">i vylučující protiprávnost. </w:t>
      </w:r>
    </w:p>
    <w:p w:rsidR="00000000" w:rsidRPr="002D093B" w:rsidRDefault="00AB629C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 </w:t>
      </w:r>
      <w:r w:rsidR="006B5FEF" w:rsidRPr="002D093B">
        <w:rPr>
          <w:rFonts w:ascii="Arial" w:hAnsi="Arial" w:cs="Arial"/>
          <w:b/>
          <w:bCs/>
          <w:sz w:val="24"/>
          <w:szCs w:val="24"/>
        </w:rPr>
        <w:t xml:space="preserve">Škodou </w:t>
      </w:r>
      <w:r w:rsidR="006B5FEF" w:rsidRPr="002D093B">
        <w:rPr>
          <w:rFonts w:ascii="Arial" w:hAnsi="Arial" w:cs="Arial"/>
          <w:sz w:val="24"/>
          <w:szCs w:val="24"/>
        </w:rPr>
        <w:t xml:space="preserve">se z hlediska </w:t>
      </w:r>
      <w:r w:rsidR="006B5FEF" w:rsidRPr="002D093B">
        <w:rPr>
          <w:rFonts w:ascii="Arial" w:hAnsi="Arial" w:cs="Arial"/>
          <w:sz w:val="24"/>
          <w:szCs w:val="24"/>
        </w:rPr>
        <w:t xml:space="preserve">odpovědnosti za škodu rozumí majetková újma, která je objektivně vyjádřitelná v penězích. Jestliže takto charakterizovaná majetková újma nevznikne, nevznikne tak ani odpovědnost za škodu.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V</w:t>
      </w:r>
      <w:r w:rsidRPr="002D093B">
        <w:rPr>
          <w:rFonts w:ascii="Arial" w:hAnsi="Arial" w:cs="Arial"/>
          <w:sz w:val="24"/>
          <w:szCs w:val="24"/>
        </w:rPr>
        <w:t xml:space="preserve">zniklá škoda je napravitelná poskytnutím majetkového plnění, především poskytnutím peněz, nedochází-li k naturální restituci (uvedení poškozené věci do původního stavu).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lastRenderedPageBreak/>
        <w:t>Nemajetková újma se</w:t>
      </w:r>
      <w:r w:rsidRPr="002D093B">
        <w:rPr>
          <w:rFonts w:ascii="Arial" w:hAnsi="Arial" w:cs="Arial"/>
          <w:sz w:val="24"/>
          <w:szCs w:val="24"/>
        </w:rPr>
        <w:t xml:space="preserve"> odškodňuje jen v případech zvlášť stanovených zákonem. </w:t>
      </w:r>
    </w:p>
    <w:p w:rsidR="00000000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 xml:space="preserve">Rozeznává se </w:t>
      </w:r>
      <w:r w:rsidRPr="002D093B">
        <w:rPr>
          <w:rFonts w:ascii="Arial" w:hAnsi="Arial" w:cs="Arial"/>
          <w:b/>
          <w:bCs/>
          <w:sz w:val="24"/>
          <w:szCs w:val="24"/>
        </w:rPr>
        <w:t xml:space="preserve">škoda skutečná </w:t>
      </w:r>
      <w:r w:rsidRPr="002D093B">
        <w:rPr>
          <w:rFonts w:ascii="Arial" w:hAnsi="Arial" w:cs="Arial"/>
          <w:sz w:val="24"/>
          <w:szCs w:val="24"/>
        </w:rPr>
        <w:t xml:space="preserve">a </w:t>
      </w:r>
      <w:r w:rsidRPr="002D093B">
        <w:rPr>
          <w:rFonts w:ascii="Arial" w:hAnsi="Arial" w:cs="Arial"/>
          <w:b/>
          <w:bCs/>
          <w:sz w:val="24"/>
          <w:szCs w:val="24"/>
        </w:rPr>
        <w:t>ušlý zisk</w:t>
      </w:r>
      <w:r w:rsidRPr="002D093B">
        <w:rPr>
          <w:rFonts w:ascii="Arial" w:hAnsi="Arial" w:cs="Arial"/>
          <w:sz w:val="24"/>
          <w:szCs w:val="24"/>
        </w:rPr>
        <w:t>. Vzniknou-li v konkrétním případě oba druhy škod, je původce škody povinen k náhrad</w:t>
      </w:r>
      <w:r w:rsidRPr="002D093B">
        <w:rPr>
          <w:rFonts w:ascii="Arial" w:hAnsi="Arial" w:cs="Arial"/>
          <w:sz w:val="24"/>
          <w:szCs w:val="24"/>
        </w:rPr>
        <w:t xml:space="preserve">ě jako skutečné škody, tak ušlého zisku. </w:t>
      </w:r>
    </w:p>
    <w:p w:rsidR="00AB629C" w:rsidRPr="002D093B" w:rsidRDefault="00AB629C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AB629C">
        <w:rPr>
          <w:rFonts w:ascii="Arial" w:hAnsi="Arial" w:cs="Arial"/>
          <w:b/>
          <w:sz w:val="24"/>
          <w:szCs w:val="24"/>
        </w:rPr>
        <w:t>C. Příčinná souvislost</w:t>
      </w:r>
      <w:r>
        <w:rPr>
          <w:rFonts w:ascii="Arial" w:hAnsi="Arial" w:cs="Arial"/>
          <w:sz w:val="24"/>
          <w:szCs w:val="24"/>
        </w:rPr>
        <w:t xml:space="preserve"> – musí být prokázáno, že škoda vznikla v přímé souvislosti s protiprávním jednáním,</w:t>
      </w:r>
    </w:p>
    <w:p w:rsidR="00000000" w:rsidRPr="00AB629C" w:rsidRDefault="00AB629C" w:rsidP="002D093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B629C">
        <w:rPr>
          <w:rFonts w:ascii="Arial" w:hAnsi="Arial" w:cs="Arial"/>
          <w:b/>
          <w:sz w:val="24"/>
          <w:szCs w:val="24"/>
        </w:rPr>
        <w:t xml:space="preserve">D. </w:t>
      </w:r>
      <w:r w:rsidR="006B5FEF" w:rsidRPr="00AB629C">
        <w:rPr>
          <w:rFonts w:ascii="Arial" w:hAnsi="Arial" w:cs="Arial"/>
          <w:b/>
          <w:sz w:val="24"/>
          <w:szCs w:val="24"/>
        </w:rPr>
        <w:t>Zavinění</w:t>
      </w:r>
    </w:p>
    <w:p w:rsidR="00000000" w:rsidRPr="00AB629C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AB629C">
        <w:rPr>
          <w:rFonts w:ascii="Arial" w:hAnsi="Arial" w:cs="Arial"/>
          <w:bCs/>
          <w:sz w:val="24"/>
          <w:szCs w:val="24"/>
        </w:rPr>
        <w:t>Psychický vztah osoby (škůdce) ke svému jednání a následku,</w:t>
      </w:r>
    </w:p>
    <w:p w:rsidR="00000000" w:rsidRPr="00AB629C" w:rsidRDefault="006B5FEF" w:rsidP="002D093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B629C">
        <w:rPr>
          <w:rFonts w:ascii="Arial" w:hAnsi="Arial" w:cs="Arial"/>
          <w:b/>
          <w:bCs/>
          <w:sz w:val="24"/>
          <w:szCs w:val="24"/>
        </w:rPr>
        <w:t>Úmysl</w:t>
      </w:r>
    </w:p>
    <w:p w:rsidR="00000000" w:rsidRPr="00AB629C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AB629C">
        <w:rPr>
          <w:rFonts w:ascii="Arial" w:hAnsi="Arial" w:cs="Arial"/>
          <w:bCs/>
          <w:sz w:val="24"/>
          <w:szCs w:val="24"/>
        </w:rPr>
        <w:t>Přímý</w:t>
      </w:r>
      <w:r w:rsidRPr="00AB629C">
        <w:rPr>
          <w:rFonts w:ascii="Arial" w:hAnsi="Arial" w:cs="Arial"/>
          <w:sz w:val="24"/>
          <w:szCs w:val="24"/>
        </w:rPr>
        <w:t xml:space="preserve"> – pachatel věděl</w:t>
      </w:r>
      <w:r w:rsidR="00AB629C">
        <w:rPr>
          <w:rFonts w:ascii="Arial" w:hAnsi="Arial" w:cs="Arial"/>
          <w:sz w:val="24"/>
          <w:szCs w:val="24"/>
        </w:rPr>
        <w:t>, že může škodu způsobit</w:t>
      </w:r>
      <w:r w:rsidRPr="00AB629C">
        <w:rPr>
          <w:rFonts w:ascii="Arial" w:hAnsi="Arial" w:cs="Arial"/>
          <w:sz w:val="24"/>
          <w:szCs w:val="24"/>
        </w:rPr>
        <w:t xml:space="preserve"> a chtěl škodu způsobit,</w:t>
      </w:r>
    </w:p>
    <w:p w:rsidR="00000000" w:rsidRPr="00AB629C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AB629C">
        <w:rPr>
          <w:rFonts w:ascii="Arial" w:hAnsi="Arial" w:cs="Arial"/>
          <w:bCs/>
          <w:sz w:val="24"/>
          <w:szCs w:val="24"/>
        </w:rPr>
        <w:t>Nepří</w:t>
      </w:r>
      <w:r w:rsidRPr="00AB629C">
        <w:rPr>
          <w:rFonts w:ascii="Arial" w:hAnsi="Arial" w:cs="Arial"/>
          <w:bCs/>
          <w:sz w:val="24"/>
          <w:szCs w:val="24"/>
        </w:rPr>
        <w:t>mý</w:t>
      </w:r>
      <w:r w:rsidRPr="00AB629C">
        <w:rPr>
          <w:rFonts w:ascii="Arial" w:hAnsi="Arial" w:cs="Arial"/>
          <w:sz w:val="24"/>
          <w:szCs w:val="24"/>
        </w:rPr>
        <w:t xml:space="preserve"> – věděl, že může škodu způsobit a pro případ, že ji způsobí, byl s tím srozuměn,</w:t>
      </w:r>
    </w:p>
    <w:p w:rsidR="00000000" w:rsidRPr="00AB629C" w:rsidRDefault="006B5FEF" w:rsidP="002D093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B629C">
        <w:rPr>
          <w:rFonts w:ascii="Arial" w:hAnsi="Arial" w:cs="Arial"/>
          <w:b/>
          <w:bCs/>
          <w:sz w:val="24"/>
          <w:szCs w:val="24"/>
        </w:rPr>
        <w:t xml:space="preserve">Nedbalost </w:t>
      </w:r>
    </w:p>
    <w:p w:rsidR="00000000" w:rsidRPr="00AB629C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AB629C">
        <w:rPr>
          <w:rFonts w:ascii="Arial" w:hAnsi="Arial" w:cs="Arial"/>
          <w:bCs/>
          <w:sz w:val="24"/>
          <w:szCs w:val="24"/>
        </w:rPr>
        <w:t>Vědomá</w:t>
      </w:r>
      <w:r w:rsidRPr="00AB629C">
        <w:rPr>
          <w:rFonts w:ascii="Arial" w:hAnsi="Arial" w:cs="Arial"/>
          <w:sz w:val="24"/>
          <w:szCs w:val="24"/>
        </w:rPr>
        <w:t xml:space="preserve"> – nechtěl</w:t>
      </w:r>
      <w:r w:rsidR="00AB629C">
        <w:rPr>
          <w:rFonts w:ascii="Arial" w:hAnsi="Arial" w:cs="Arial"/>
          <w:sz w:val="24"/>
          <w:szCs w:val="24"/>
        </w:rPr>
        <w:t xml:space="preserve"> škodu způsobit</w:t>
      </w:r>
      <w:r w:rsidRPr="00AB629C">
        <w:rPr>
          <w:rFonts w:ascii="Arial" w:hAnsi="Arial" w:cs="Arial"/>
          <w:sz w:val="24"/>
          <w:szCs w:val="24"/>
        </w:rPr>
        <w:t>, ale věděl, že může škodu způsobit, ale bez přiměřených důvodů spoléhal na to, že ji nezpůsobí,</w:t>
      </w:r>
    </w:p>
    <w:p w:rsidR="00000000" w:rsidRPr="00AB629C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AB629C">
        <w:rPr>
          <w:rFonts w:ascii="Arial" w:hAnsi="Arial" w:cs="Arial"/>
          <w:bCs/>
          <w:sz w:val="24"/>
          <w:szCs w:val="24"/>
        </w:rPr>
        <w:t>Nevědomá</w:t>
      </w:r>
      <w:r w:rsidRPr="00AB629C">
        <w:rPr>
          <w:rFonts w:ascii="Arial" w:hAnsi="Arial" w:cs="Arial"/>
          <w:sz w:val="24"/>
          <w:szCs w:val="24"/>
        </w:rPr>
        <w:t xml:space="preserve"> – nechtěl</w:t>
      </w:r>
      <w:r w:rsidR="00AB629C">
        <w:rPr>
          <w:rFonts w:ascii="Arial" w:hAnsi="Arial" w:cs="Arial"/>
          <w:sz w:val="24"/>
          <w:szCs w:val="24"/>
        </w:rPr>
        <w:t xml:space="preserve"> škodu způsobit</w:t>
      </w:r>
      <w:r w:rsidRPr="00AB629C">
        <w:rPr>
          <w:rFonts w:ascii="Arial" w:hAnsi="Arial" w:cs="Arial"/>
          <w:sz w:val="24"/>
          <w:szCs w:val="24"/>
        </w:rPr>
        <w:t xml:space="preserve">, ani nevěděl, že může škodu způsobit, ač o tom vzhledem ke svým poměrům vědět měl a mohl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Odpovědnost vojáka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Voják odpovídá za zaviněnou škodu při plnění služebních úkolů nebo v přímé souvislosti</w:t>
      </w:r>
      <w:r w:rsidR="00AB629C">
        <w:rPr>
          <w:rFonts w:ascii="Arial" w:hAnsi="Arial" w:cs="Arial"/>
          <w:sz w:val="24"/>
          <w:szCs w:val="24"/>
        </w:rPr>
        <w:t xml:space="preserve"> s plněním služebních úkolů.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Prokazuje se zavinění</w:t>
      </w:r>
      <w:r w:rsidR="00AB629C">
        <w:rPr>
          <w:rFonts w:ascii="Arial" w:hAnsi="Arial" w:cs="Arial"/>
          <w:sz w:val="24"/>
          <w:szCs w:val="24"/>
        </w:rPr>
        <w:t>, výjimkou je postup podle</w:t>
      </w:r>
      <w:r w:rsidRPr="002D093B">
        <w:rPr>
          <w:rFonts w:ascii="Arial" w:hAnsi="Arial" w:cs="Arial"/>
          <w:sz w:val="24"/>
          <w:szCs w:val="24"/>
        </w:rPr>
        <w:t xml:space="preserve"> § 104 a 106</w:t>
      </w:r>
      <w:r w:rsidRPr="002D093B">
        <w:rPr>
          <w:rFonts w:ascii="Arial" w:hAnsi="Arial" w:cs="Arial"/>
          <w:sz w:val="24"/>
          <w:szCs w:val="24"/>
        </w:rPr>
        <w:t>, hmotn</w:t>
      </w:r>
      <w:r w:rsidRPr="002D093B">
        <w:rPr>
          <w:rFonts w:ascii="Arial" w:hAnsi="Arial" w:cs="Arial"/>
          <w:sz w:val="24"/>
          <w:szCs w:val="24"/>
        </w:rPr>
        <w:t>á odpovědnost</w:t>
      </w:r>
      <w:r w:rsidR="00AB629C">
        <w:rPr>
          <w:rFonts w:ascii="Arial" w:hAnsi="Arial" w:cs="Arial"/>
          <w:sz w:val="24"/>
          <w:szCs w:val="24"/>
        </w:rPr>
        <w:t>.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Neodpovídá se za škodu vyplývající z rizika řádného výkonu služby, způsobenou při odvracení nebezpečí, způsobenou v nepříčetnosti, kterou si voják sám nezpůsobil</w:t>
      </w:r>
      <w:r w:rsidR="00AB629C">
        <w:rPr>
          <w:rFonts w:ascii="Arial" w:hAnsi="Arial" w:cs="Arial"/>
          <w:sz w:val="24"/>
          <w:szCs w:val="24"/>
        </w:rPr>
        <w:t>.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Dohoda o hmotné odpovědnosti, i společná</w:t>
      </w:r>
      <w:r w:rsidR="00DC2A74">
        <w:rPr>
          <w:rFonts w:ascii="Arial" w:hAnsi="Arial" w:cs="Arial"/>
          <w:sz w:val="24"/>
          <w:szCs w:val="24"/>
        </w:rPr>
        <w:t>. Ten, kdo převzal odpovědnost za hodnoty svěřené k vyúčtování, odpovídá za vzniklý schodek. Používá se zejména u skladníků či pokladníků.</w:t>
      </w:r>
    </w:p>
    <w:p w:rsidR="00000000" w:rsidRPr="002D093B" w:rsidRDefault="00DC2A74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Dohoda musí být p</w:t>
      </w:r>
      <w:r w:rsidR="006B5FEF" w:rsidRPr="002D093B">
        <w:rPr>
          <w:rFonts w:ascii="Arial" w:hAnsi="Arial" w:cs="Arial"/>
          <w:sz w:val="24"/>
          <w:szCs w:val="24"/>
        </w:rPr>
        <w:t>ísemná,</w:t>
      </w:r>
      <w:r>
        <w:rPr>
          <w:rFonts w:ascii="Arial" w:hAnsi="Arial" w:cs="Arial"/>
          <w:sz w:val="24"/>
          <w:szCs w:val="24"/>
        </w:rPr>
        <w:t xml:space="preserve"> voják má</w:t>
      </w:r>
      <w:r w:rsidR="006B5FEF" w:rsidRPr="002D093B">
        <w:rPr>
          <w:rFonts w:ascii="Arial" w:hAnsi="Arial" w:cs="Arial"/>
          <w:sz w:val="24"/>
          <w:szCs w:val="24"/>
        </w:rPr>
        <w:t xml:space="preserve"> </w:t>
      </w:r>
      <w:r w:rsidR="006B5FEF" w:rsidRPr="002D093B">
        <w:rPr>
          <w:rFonts w:ascii="Arial" w:hAnsi="Arial" w:cs="Arial"/>
          <w:sz w:val="24"/>
          <w:szCs w:val="24"/>
        </w:rPr>
        <w:t>možnost odstoupit,</w:t>
      </w:r>
      <w:r>
        <w:rPr>
          <w:rFonts w:ascii="Arial" w:hAnsi="Arial" w:cs="Arial"/>
          <w:sz w:val="24"/>
          <w:szCs w:val="24"/>
        </w:rPr>
        <w:t xml:space="preserve"> pokud služební orgán neodstraní závady. V případech, když je zjištěna škoda, neprokazuje se zavinění. Voják se může zprostit odpovědnosti, prokáže-li, že škodu způsobil někdo jiný.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Ztráta svěřených předmětů na potvrzení</w:t>
      </w:r>
      <w:r w:rsidR="00C97CE0">
        <w:rPr>
          <w:rFonts w:ascii="Arial" w:hAnsi="Arial" w:cs="Arial"/>
          <w:sz w:val="24"/>
          <w:szCs w:val="24"/>
        </w:rPr>
        <w:t xml:space="preserve"> – jedná se o podobnou oblast jako u hmotné odpovědnosti – neprokazuje se zavinění.</w:t>
      </w:r>
    </w:p>
    <w:p w:rsidR="00C97CE0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lastRenderedPageBreak/>
        <w:t xml:space="preserve">Náhrada škody </w:t>
      </w:r>
    </w:p>
    <w:p w:rsidR="00000000" w:rsidRPr="002D093B" w:rsidRDefault="00C97CE0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kdo za škodu odpovídá, je povinen nahradit</w:t>
      </w:r>
      <w:r w:rsidR="006B5FEF" w:rsidRPr="002D093B">
        <w:rPr>
          <w:rFonts w:ascii="Arial" w:hAnsi="Arial" w:cs="Arial"/>
          <w:sz w:val="24"/>
          <w:szCs w:val="24"/>
        </w:rPr>
        <w:t xml:space="preserve"> skutečn</w:t>
      </w:r>
      <w:r>
        <w:rPr>
          <w:rFonts w:ascii="Arial" w:hAnsi="Arial" w:cs="Arial"/>
          <w:sz w:val="24"/>
          <w:szCs w:val="24"/>
        </w:rPr>
        <w:t>ou škodu</w:t>
      </w:r>
      <w:r w:rsidR="006B5FEF" w:rsidRPr="002D093B">
        <w:rPr>
          <w:rFonts w:ascii="Arial" w:hAnsi="Arial" w:cs="Arial"/>
          <w:sz w:val="24"/>
          <w:szCs w:val="24"/>
        </w:rPr>
        <w:t xml:space="preserve">, v penězích nebo </w:t>
      </w:r>
      <w:r>
        <w:rPr>
          <w:rFonts w:ascii="Arial" w:hAnsi="Arial" w:cs="Arial"/>
          <w:sz w:val="24"/>
          <w:szCs w:val="24"/>
        </w:rPr>
        <w:t xml:space="preserve">uvedením do </w:t>
      </w:r>
      <w:r w:rsidR="006B5FEF" w:rsidRPr="002D093B">
        <w:rPr>
          <w:rFonts w:ascii="Arial" w:hAnsi="Arial" w:cs="Arial"/>
          <w:sz w:val="24"/>
          <w:szCs w:val="24"/>
        </w:rPr>
        <w:t>původní</w:t>
      </w:r>
      <w:r>
        <w:rPr>
          <w:rFonts w:ascii="Arial" w:hAnsi="Arial" w:cs="Arial"/>
          <w:sz w:val="24"/>
          <w:szCs w:val="24"/>
        </w:rPr>
        <w:t>ho</w:t>
      </w:r>
      <w:r w:rsidR="006B5FEF" w:rsidRPr="002D093B">
        <w:rPr>
          <w:rFonts w:ascii="Arial" w:hAnsi="Arial" w:cs="Arial"/>
          <w:sz w:val="24"/>
          <w:szCs w:val="24"/>
        </w:rPr>
        <w:t xml:space="preserve"> stav</w:t>
      </w:r>
      <w:r>
        <w:rPr>
          <w:rFonts w:ascii="Arial" w:hAnsi="Arial" w:cs="Arial"/>
          <w:sz w:val="24"/>
          <w:szCs w:val="24"/>
        </w:rPr>
        <w:t>u. Výše náhrady škody způsobené</w:t>
      </w:r>
      <w:r w:rsidR="006B5FEF" w:rsidRPr="002D093B">
        <w:rPr>
          <w:rFonts w:ascii="Arial" w:hAnsi="Arial" w:cs="Arial"/>
          <w:sz w:val="24"/>
          <w:szCs w:val="24"/>
        </w:rPr>
        <w:t xml:space="preserve"> z nedbalo</w:t>
      </w:r>
      <w:r w:rsidR="006B5FEF" w:rsidRPr="002D093B">
        <w:rPr>
          <w:rFonts w:ascii="Arial" w:hAnsi="Arial" w:cs="Arial"/>
          <w:sz w:val="24"/>
          <w:szCs w:val="24"/>
        </w:rPr>
        <w:t xml:space="preserve">sti </w:t>
      </w:r>
      <w:r>
        <w:rPr>
          <w:rFonts w:ascii="Arial" w:hAnsi="Arial" w:cs="Arial"/>
          <w:sz w:val="24"/>
          <w:szCs w:val="24"/>
        </w:rPr>
        <w:t xml:space="preserve">nesmí přesáhnout </w:t>
      </w:r>
      <w:r w:rsidR="006B5FEF" w:rsidRPr="002D093B">
        <w:rPr>
          <w:rFonts w:ascii="Arial" w:hAnsi="Arial" w:cs="Arial"/>
          <w:sz w:val="24"/>
          <w:szCs w:val="24"/>
        </w:rPr>
        <w:t>4,5 násobek platu</w:t>
      </w:r>
      <w:r>
        <w:rPr>
          <w:rFonts w:ascii="Arial" w:hAnsi="Arial" w:cs="Arial"/>
          <w:sz w:val="24"/>
          <w:szCs w:val="24"/>
        </w:rPr>
        <w:t>.</w:t>
      </w:r>
      <w:r w:rsidR="006B5FEF" w:rsidRPr="002D0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Omezení neplatí pro škody způsobené v rámci hmotné odpovědnosti nebo pod vlivem alkoholu či drog.</w:t>
      </w:r>
    </w:p>
    <w:p w:rsidR="00000000" w:rsidRPr="002D093B" w:rsidRDefault="00C97CE0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B5FEF" w:rsidRPr="002D093B">
        <w:rPr>
          <w:rFonts w:ascii="Arial" w:hAnsi="Arial" w:cs="Arial"/>
          <w:sz w:val="24"/>
          <w:szCs w:val="24"/>
        </w:rPr>
        <w:t xml:space="preserve">ze snížit v určitých případech, (dopravní nehody). 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Odpovědnost státu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Stát odpovídá za škodu způsobenou vojákovi při výkonu služby, v přímé souvislosti s výkonem služby nebo pro výkon služby porušením právní povinnosti,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Odpovědnost za škodu na věcech a odložených věcech,</w:t>
      </w:r>
      <w:r w:rsidR="002F1934">
        <w:rPr>
          <w:rFonts w:ascii="Arial" w:hAnsi="Arial" w:cs="Arial"/>
          <w:sz w:val="24"/>
          <w:szCs w:val="24"/>
        </w:rPr>
        <w:t xml:space="preserve"> je omezena jen na věci, které se do služby obvykle nosí nebo je nadřízený převzal do úschovy. Za ostatní věci odpovídá stát jen do výše dvojnásobku minimální mzdy (17 000 Kč).</w:t>
      </w:r>
    </w:p>
    <w:p w:rsidR="00000000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Odpovědnost za škody na zdraví při služebních úrazech a nemocech z povolání,</w:t>
      </w:r>
      <w:r w:rsidR="002F1934">
        <w:rPr>
          <w:rFonts w:ascii="Arial" w:hAnsi="Arial" w:cs="Arial"/>
          <w:sz w:val="24"/>
          <w:szCs w:val="24"/>
        </w:rPr>
        <w:t xml:space="preserve"> je patrně nejčastější typ odpovědnosti. Stát odpovídá za škodu na zdraví, kterou voják utrpěl při výkonu služby nebo v přímé souvislosti s ním. Stát poskytuje odškodnění:</w:t>
      </w:r>
    </w:p>
    <w:p w:rsidR="002F1934" w:rsidRDefault="002F1934" w:rsidP="002F19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náhrada za ztrátu na platu po dobu neschopnosti k výkonu služby - § 117,</w:t>
      </w:r>
    </w:p>
    <w:p w:rsidR="002F1934" w:rsidRDefault="002F1934" w:rsidP="002F19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náhradu za ztrátu na platu po skončení neschopnosti - § 118,</w:t>
      </w:r>
    </w:p>
    <w:p w:rsidR="002F1934" w:rsidRDefault="002F1934" w:rsidP="002F19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náhradu za bolest,</w:t>
      </w:r>
    </w:p>
    <w:p w:rsidR="002F1934" w:rsidRDefault="002F1934" w:rsidP="002F19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náhradu za ztížené společenské uplatnění, </w:t>
      </w:r>
    </w:p>
    <w:p w:rsidR="002F1934" w:rsidRDefault="002F1934" w:rsidP="002F19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náhradu za účelně vynaložené náklady spojené s léčením - § 119,</w:t>
      </w:r>
    </w:p>
    <w:p w:rsidR="002F1934" w:rsidRDefault="002F1934" w:rsidP="002F19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jednorázové mimořádné odškodnění - § 120, </w:t>
      </w:r>
    </w:p>
    <w:p w:rsidR="002F1934" w:rsidRPr="002F1934" w:rsidRDefault="002F1934" w:rsidP="002F19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náhradu za věcnou škodu,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Jednorázové mimořádné odškodnění</w:t>
      </w:r>
    </w:p>
    <w:p w:rsidR="00000000" w:rsidRPr="002D093B" w:rsidRDefault="006B5FEF" w:rsidP="002F1934">
      <w:pPr>
        <w:ind w:left="360"/>
        <w:jc w:val="both"/>
        <w:rPr>
          <w:rFonts w:ascii="Arial" w:hAnsi="Arial" w:cs="Arial"/>
          <w:sz w:val="24"/>
          <w:szCs w:val="24"/>
        </w:rPr>
      </w:pPr>
      <w:r w:rsidRPr="002D093B">
        <w:rPr>
          <w:rFonts w:ascii="Arial" w:hAnsi="Arial" w:cs="Arial"/>
          <w:sz w:val="24"/>
          <w:szCs w:val="24"/>
        </w:rPr>
        <w:t>Speciální úprava pro vojáky</w:t>
      </w:r>
      <w:r w:rsidR="002F1934">
        <w:rPr>
          <w:rFonts w:ascii="Arial" w:hAnsi="Arial" w:cs="Arial"/>
          <w:sz w:val="24"/>
          <w:szCs w:val="24"/>
        </w:rPr>
        <w:t xml:space="preserve">, kteří se následkem služebního úrazu stanou invalidními. </w:t>
      </w:r>
      <w:r w:rsidRPr="002D093B">
        <w:rPr>
          <w:rFonts w:ascii="Arial" w:hAnsi="Arial" w:cs="Arial"/>
          <w:sz w:val="24"/>
          <w:szCs w:val="24"/>
        </w:rPr>
        <w:t>Případy odškodnění inva</w:t>
      </w:r>
      <w:r w:rsidRPr="002D093B">
        <w:rPr>
          <w:rFonts w:ascii="Arial" w:hAnsi="Arial" w:cs="Arial"/>
          <w:sz w:val="24"/>
          <w:szCs w:val="24"/>
        </w:rPr>
        <w:t xml:space="preserve">lidity následkem služ. </w:t>
      </w:r>
      <w:proofErr w:type="gramStart"/>
      <w:r w:rsidRPr="002D093B">
        <w:rPr>
          <w:rFonts w:ascii="Arial" w:hAnsi="Arial" w:cs="Arial"/>
          <w:sz w:val="24"/>
          <w:szCs w:val="24"/>
        </w:rPr>
        <w:t>úrazu</w:t>
      </w:r>
      <w:proofErr w:type="gramEnd"/>
      <w:r w:rsidRPr="002D093B">
        <w:rPr>
          <w:rFonts w:ascii="Arial" w:hAnsi="Arial" w:cs="Arial"/>
          <w:sz w:val="24"/>
          <w:szCs w:val="24"/>
        </w:rPr>
        <w:t>, různé příčiny,</w:t>
      </w:r>
      <w:r w:rsidR="002F1934">
        <w:rPr>
          <w:rFonts w:ascii="Arial" w:hAnsi="Arial" w:cs="Arial"/>
          <w:sz w:val="24"/>
          <w:szCs w:val="24"/>
        </w:rPr>
        <w:t xml:space="preserve"> odškodnění se poskytuje v rozsahu </w:t>
      </w:r>
      <w:r w:rsidRPr="002D093B">
        <w:rPr>
          <w:rFonts w:ascii="Arial" w:hAnsi="Arial" w:cs="Arial"/>
          <w:sz w:val="24"/>
          <w:szCs w:val="24"/>
        </w:rPr>
        <w:t>6 – 240 násobek minimální mzdy,</w:t>
      </w:r>
    </w:p>
    <w:p w:rsidR="006B5FEF" w:rsidRDefault="002F1934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5FEF" w:rsidRPr="002D093B">
        <w:rPr>
          <w:rFonts w:ascii="Arial" w:hAnsi="Arial" w:cs="Arial"/>
          <w:sz w:val="24"/>
          <w:szCs w:val="24"/>
        </w:rPr>
        <w:t>dškodnění pozůstalých při úmrtí vojáka</w:t>
      </w:r>
      <w:r>
        <w:rPr>
          <w:rFonts w:ascii="Arial" w:hAnsi="Arial" w:cs="Arial"/>
          <w:sz w:val="24"/>
          <w:szCs w:val="24"/>
        </w:rPr>
        <w:t xml:space="preserve"> (§ 121 – 125), poskytuje se náhrada za léčbu, pohřeb (náhrobek). Jednorázové odškodnění pozůstalých ve výši 240 tis. Kč</w:t>
      </w:r>
      <w:r w:rsidR="006B5FEF">
        <w:rPr>
          <w:rFonts w:ascii="Arial" w:hAnsi="Arial" w:cs="Arial"/>
          <w:sz w:val="24"/>
          <w:szCs w:val="24"/>
        </w:rPr>
        <w:t xml:space="preserve"> pozůstalému manželu a dětem. Náhrada nákladů na výživu pozůstalých – poskytuje se nejvýše do doby, kdy by voják dovršil 65 let věku ve výši průměrného platu vojáka před smrtí.</w:t>
      </w:r>
    </w:p>
    <w:p w:rsidR="006B5FEF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Zproštění odpovědnosti</w:t>
      </w:r>
    </w:p>
    <w:p w:rsidR="006B5FEF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Stát se může zprostit odpovědnosti zcela nebo částečně pokud byla škoda způsobena zaviněným porušením předpisů nebo rozkazů ze strany vojáka nebo pod vlivem alkoholu či jiných omamných a psychotropních látek.</w:t>
      </w:r>
    </w:p>
    <w:p w:rsidR="00000000" w:rsidRPr="002D093B" w:rsidRDefault="006B5FEF" w:rsidP="002D09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Přímá souvislost s výkonem služby je definována v § 128. Jedná se o úkony během služby potřebné, obvyklé a nutné. Nepatří tam cesta k výkonu služby i zpět, stravování nebo návštěva lékaře – pokud není konána ve vojenském objektu.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2D093B" w:rsidRPr="00322E54" w:rsidRDefault="002D093B" w:rsidP="002D093B">
      <w:pPr>
        <w:jc w:val="both"/>
        <w:rPr>
          <w:rFonts w:ascii="Arial" w:hAnsi="Arial" w:cs="Arial"/>
          <w:sz w:val="24"/>
          <w:szCs w:val="24"/>
        </w:rPr>
      </w:pPr>
    </w:p>
    <w:p w:rsidR="002D093B" w:rsidRPr="00322E54" w:rsidRDefault="002D093B" w:rsidP="002D093B">
      <w:pPr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Úkoly pro samostatnou práci:</w:t>
      </w:r>
    </w:p>
    <w:p w:rsidR="002D093B" w:rsidRPr="0060365B" w:rsidRDefault="002D093B" w:rsidP="002D093B">
      <w:pPr>
        <w:rPr>
          <w:rFonts w:ascii="Arial" w:hAnsi="Arial" w:cs="Arial"/>
          <w:sz w:val="24"/>
          <w:szCs w:val="24"/>
        </w:rPr>
      </w:pPr>
      <w:r w:rsidRPr="0060365B">
        <w:rPr>
          <w:rFonts w:ascii="Arial" w:hAnsi="Arial" w:cs="Arial"/>
          <w:sz w:val="24"/>
          <w:szCs w:val="24"/>
        </w:rPr>
        <w:t>Pročíst zákon o vojácích z povolání</w:t>
      </w:r>
    </w:p>
    <w:p w:rsidR="00386C18" w:rsidRDefault="006B5FEF"/>
    <w:sectPr w:rsidR="00386C18" w:rsidSect="00E629CD">
      <w:footerReference w:type="even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DB" w:rsidRDefault="006B5FEF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57DB" w:rsidRDefault="006B5F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D" w:rsidRDefault="006B5FEF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 xml:space="preserve">Název projektu:  Inovace magisterského </w:t>
    </w:r>
    <w:r w:rsidRPr="00E629CD">
      <w:rPr>
        <w:sz w:val="16"/>
        <w:szCs w:val="16"/>
      </w:rPr>
      <w:t>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D51BA2" w:rsidRPr="00E629CD" w:rsidRDefault="006B5FEF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E629CD" w:rsidRDefault="006B5FEF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D" w:rsidRDefault="006B5FEF">
    <w:pPr>
      <w:pStyle w:val="Zhlav"/>
    </w:pPr>
    <w:r>
      <w:rPr>
        <w:noProof/>
        <w:lang w:eastAsia="cs-CZ"/>
      </w:rPr>
      <w:drawing>
        <wp:inline distT="0" distB="0" distL="0" distR="0" wp14:anchorId="4136220B" wp14:editId="54C4E260">
          <wp:extent cx="5756910" cy="1002030"/>
          <wp:effectExtent l="0" t="0" r="0" b="7620"/>
          <wp:docPr id="1" name="Obrázek 1" descr="logo ESF černobi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F černobi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E00"/>
    <w:multiLevelType w:val="hybridMultilevel"/>
    <w:tmpl w:val="A16AF5A6"/>
    <w:lvl w:ilvl="0" w:tplc="16C4B53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74BB"/>
    <w:multiLevelType w:val="hybridMultilevel"/>
    <w:tmpl w:val="E81C3C12"/>
    <w:lvl w:ilvl="0" w:tplc="08FC1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06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AD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3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C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8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62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C8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3B"/>
    <w:rsid w:val="002D093B"/>
    <w:rsid w:val="002F1934"/>
    <w:rsid w:val="006B5FEF"/>
    <w:rsid w:val="0076130D"/>
    <w:rsid w:val="00971450"/>
    <w:rsid w:val="00AB629C"/>
    <w:rsid w:val="00C97CE0"/>
    <w:rsid w:val="00DC2A74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93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0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93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D0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93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2D093B"/>
  </w:style>
  <w:style w:type="paragraph" w:styleId="Textbubliny">
    <w:name w:val="Balloon Text"/>
    <w:basedOn w:val="Normln"/>
    <w:link w:val="TextbublinyChar"/>
    <w:uiPriority w:val="99"/>
    <w:semiHidden/>
    <w:unhideWhenUsed/>
    <w:rsid w:val="002D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3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93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0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93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D0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93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2D093B"/>
  </w:style>
  <w:style w:type="paragraph" w:styleId="Textbubliny">
    <w:name w:val="Balloon Text"/>
    <w:basedOn w:val="Normln"/>
    <w:link w:val="TextbublinyChar"/>
    <w:uiPriority w:val="99"/>
    <w:semiHidden/>
    <w:unhideWhenUsed/>
    <w:rsid w:val="002D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3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1282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2014-02-07T06:40:00Z</dcterms:created>
  <dcterms:modified xsi:type="dcterms:W3CDTF">2014-02-07T08:12:00Z</dcterms:modified>
</cp:coreProperties>
</file>