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07E" w:rsidRPr="0001375A" w:rsidRDefault="002E307E" w:rsidP="002E307E">
      <w:pPr>
        <w:jc w:val="center"/>
        <w:rPr>
          <w:b/>
          <w:spacing w:val="60"/>
          <w:sz w:val="32"/>
          <w:szCs w:val="32"/>
        </w:rPr>
      </w:pPr>
      <w:r w:rsidRPr="0001375A">
        <w:rPr>
          <w:b/>
          <w:spacing w:val="60"/>
          <w:sz w:val="32"/>
          <w:szCs w:val="32"/>
        </w:rPr>
        <w:t>UNIVERZITA OBRANY</w:t>
      </w:r>
      <w:r>
        <w:rPr>
          <w:b/>
          <w:spacing w:val="60"/>
          <w:sz w:val="32"/>
          <w:szCs w:val="32"/>
        </w:rPr>
        <w:t xml:space="preserve"> V BRNĚ</w:t>
      </w:r>
    </w:p>
    <w:p w:rsidR="002E307E" w:rsidRDefault="002E307E" w:rsidP="002E307E">
      <w:pPr>
        <w:jc w:val="center"/>
        <w:rPr>
          <w:b/>
          <w:sz w:val="32"/>
          <w:szCs w:val="32"/>
        </w:rPr>
      </w:pPr>
      <w:r w:rsidRPr="00B43B67">
        <w:rPr>
          <w:b/>
          <w:sz w:val="32"/>
          <w:szCs w:val="32"/>
        </w:rPr>
        <w:t xml:space="preserve">Fakulta </w:t>
      </w:r>
      <w:r>
        <w:rPr>
          <w:b/>
          <w:sz w:val="32"/>
          <w:szCs w:val="32"/>
        </w:rPr>
        <w:t xml:space="preserve">vojenského </w:t>
      </w:r>
      <w:proofErr w:type="spellStart"/>
      <w:r>
        <w:rPr>
          <w:b/>
          <w:sz w:val="32"/>
          <w:szCs w:val="32"/>
        </w:rPr>
        <w:t>leadershipu</w:t>
      </w:r>
      <w:proofErr w:type="spellEnd"/>
    </w:p>
    <w:p w:rsidR="002E307E" w:rsidRPr="00B43B67" w:rsidRDefault="002E307E" w:rsidP="002E307E">
      <w:pPr>
        <w:jc w:val="center"/>
        <w:rPr>
          <w:b/>
          <w:sz w:val="32"/>
          <w:szCs w:val="32"/>
        </w:rPr>
      </w:pPr>
      <w:r>
        <w:rPr>
          <w:b/>
          <w:sz w:val="32"/>
          <w:szCs w:val="32"/>
        </w:rPr>
        <w:t>Katedra logistiky</w:t>
      </w:r>
    </w:p>
    <w:p w:rsidR="002E307E" w:rsidRPr="00FD4193" w:rsidRDefault="002E307E" w:rsidP="002E307E">
      <w:r w:rsidRPr="00FD4193">
        <w:t>________________________________________________________</w:t>
      </w:r>
      <w:r>
        <w:t>___________________</w:t>
      </w:r>
    </w:p>
    <w:p w:rsidR="002E307E" w:rsidRPr="00FD4193" w:rsidRDefault="002E307E" w:rsidP="002E307E"/>
    <w:p w:rsidR="002E307E" w:rsidRDefault="002E307E" w:rsidP="002E307E"/>
    <w:p w:rsidR="002E307E" w:rsidRDefault="002E307E" w:rsidP="002E307E"/>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39"/>
      </w:tblGrid>
      <w:tr w:rsidR="002E307E" w:rsidTr="002E307E">
        <w:trPr>
          <w:trHeight w:val="1380"/>
          <w:jc w:val="center"/>
        </w:trPr>
        <w:tc>
          <w:tcPr>
            <w:tcW w:w="3939" w:type="dxa"/>
          </w:tcPr>
          <w:p w:rsidR="002E307E" w:rsidRPr="0066441A" w:rsidRDefault="002E307E" w:rsidP="002E307E"/>
          <w:p w:rsidR="002E307E" w:rsidRPr="0066441A" w:rsidRDefault="002E307E" w:rsidP="002E307E">
            <w:pPr>
              <w:jc w:val="center"/>
            </w:pPr>
            <w:r>
              <w:rPr>
                <w:noProof/>
              </w:rPr>
              <w:drawing>
                <wp:inline distT="0" distB="0" distL="0" distR="0" wp14:anchorId="07383B71" wp14:editId="134D2217">
                  <wp:extent cx="1870135" cy="2122131"/>
                  <wp:effectExtent l="19050" t="0" r="0" b="0"/>
                  <wp:docPr id="226" name="obrázek 226" descr="C:\Users\zajicekv\Pictures\42525e69c0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zajicekv\Pictures\42525e69c0045.gif"/>
                          <pic:cNvPicPr>
                            <a:picLocks noChangeAspect="1" noChangeArrowheads="1"/>
                          </pic:cNvPicPr>
                        </pic:nvPicPr>
                        <pic:blipFill>
                          <a:blip r:embed="rId8" cstate="print"/>
                          <a:srcRect/>
                          <a:stretch>
                            <a:fillRect/>
                          </a:stretch>
                        </pic:blipFill>
                        <pic:spPr bwMode="auto">
                          <a:xfrm>
                            <a:off x="0" y="0"/>
                            <a:ext cx="1873791" cy="2126280"/>
                          </a:xfrm>
                          <a:prstGeom prst="rect">
                            <a:avLst/>
                          </a:prstGeom>
                          <a:noFill/>
                          <a:ln w="9525">
                            <a:noFill/>
                            <a:miter lim="800000"/>
                            <a:headEnd/>
                            <a:tailEnd/>
                          </a:ln>
                        </pic:spPr>
                      </pic:pic>
                    </a:graphicData>
                  </a:graphic>
                </wp:inline>
              </w:drawing>
            </w:r>
            <w:r w:rsidRPr="005774EE">
              <w:t xml:space="preserve"> </w:t>
            </w:r>
          </w:p>
        </w:tc>
      </w:tr>
    </w:tbl>
    <w:p w:rsidR="002E307E" w:rsidRPr="0066441A" w:rsidRDefault="002E307E" w:rsidP="002E307E"/>
    <w:p w:rsidR="002E307E" w:rsidRPr="0066441A" w:rsidRDefault="002E307E" w:rsidP="002E307E"/>
    <w:p w:rsidR="002E307E" w:rsidRPr="0066441A" w:rsidRDefault="002E307E" w:rsidP="002E307E"/>
    <w:p w:rsidR="002E307E" w:rsidRPr="0066441A" w:rsidRDefault="002E307E" w:rsidP="002E307E"/>
    <w:p w:rsidR="002E307E" w:rsidRPr="00BF2BF1" w:rsidRDefault="002E307E" w:rsidP="002E307E">
      <w:pPr>
        <w:jc w:val="center"/>
        <w:rPr>
          <w:b/>
          <w:sz w:val="48"/>
          <w:szCs w:val="48"/>
        </w:rPr>
      </w:pPr>
      <w:r>
        <w:rPr>
          <w:b/>
          <w:sz w:val="48"/>
          <w:szCs w:val="48"/>
        </w:rPr>
        <w:t>ROPA, JEJÍ ZPRACOVÁNÍ A DISTRIBUCE</w:t>
      </w:r>
    </w:p>
    <w:p w:rsidR="002E307E" w:rsidRPr="005B316A" w:rsidRDefault="002E307E" w:rsidP="002E307E"/>
    <w:p w:rsidR="002E307E" w:rsidRDefault="002E307E" w:rsidP="002E307E"/>
    <w:p w:rsidR="002E307E" w:rsidRDefault="002E307E" w:rsidP="002E307E"/>
    <w:p w:rsidR="002E307E" w:rsidRPr="005B316A" w:rsidRDefault="002E307E" w:rsidP="002E307E"/>
    <w:p w:rsidR="002E307E" w:rsidRPr="0001375A" w:rsidRDefault="002E307E" w:rsidP="002E307E">
      <w:pPr>
        <w:jc w:val="center"/>
        <w:rPr>
          <w:b/>
          <w:spacing w:val="60"/>
          <w:sz w:val="28"/>
          <w:szCs w:val="28"/>
        </w:rPr>
      </w:pPr>
      <w:r w:rsidRPr="0001375A">
        <w:rPr>
          <w:b/>
          <w:spacing w:val="60"/>
          <w:sz w:val="28"/>
          <w:szCs w:val="28"/>
        </w:rPr>
        <w:t>STU</w:t>
      </w:r>
      <w:r>
        <w:rPr>
          <w:b/>
          <w:spacing w:val="60"/>
          <w:sz w:val="28"/>
          <w:szCs w:val="28"/>
        </w:rPr>
        <w:t>D</w:t>
      </w:r>
      <w:r w:rsidRPr="0001375A">
        <w:rPr>
          <w:b/>
          <w:spacing w:val="60"/>
          <w:sz w:val="28"/>
          <w:szCs w:val="28"/>
        </w:rPr>
        <w:t>IJNÍ TEXT</w:t>
      </w:r>
    </w:p>
    <w:p w:rsidR="002E307E" w:rsidRPr="005B316A" w:rsidRDefault="002E307E" w:rsidP="002E307E"/>
    <w:p w:rsidR="002E307E" w:rsidRDefault="002E307E" w:rsidP="002E307E"/>
    <w:p w:rsidR="002E307E" w:rsidRDefault="002E307E" w:rsidP="002E307E"/>
    <w:p w:rsidR="002E307E" w:rsidRDefault="002E307E" w:rsidP="002E307E"/>
    <w:p w:rsidR="002E307E" w:rsidRDefault="002E307E" w:rsidP="002E307E"/>
    <w:p w:rsidR="002E307E" w:rsidRDefault="002E307E" w:rsidP="002E307E"/>
    <w:p w:rsidR="002E307E" w:rsidRDefault="002E307E" w:rsidP="002E307E"/>
    <w:p w:rsidR="002E307E" w:rsidRPr="005B316A" w:rsidRDefault="002E307E" w:rsidP="002E307E"/>
    <w:p w:rsidR="002E307E" w:rsidRDefault="002E307E" w:rsidP="002E307E">
      <w:pPr>
        <w:jc w:val="center"/>
        <w:rPr>
          <w:b/>
          <w:sz w:val="28"/>
          <w:szCs w:val="28"/>
        </w:rPr>
      </w:pPr>
      <w:r>
        <w:rPr>
          <w:b/>
          <w:sz w:val="28"/>
          <w:szCs w:val="28"/>
        </w:rPr>
        <w:t>Václav ZAJÍČEK</w:t>
      </w:r>
    </w:p>
    <w:p w:rsidR="002E307E" w:rsidRDefault="002E307E" w:rsidP="002E307E"/>
    <w:p w:rsidR="002E307E" w:rsidRDefault="002E307E" w:rsidP="002E307E"/>
    <w:p w:rsidR="002E307E" w:rsidRDefault="002E307E" w:rsidP="002E307E">
      <w:pPr>
        <w:pBdr>
          <w:bottom w:val="single" w:sz="12" w:space="1" w:color="auto"/>
        </w:pBdr>
      </w:pPr>
    </w:p>
    <w:p w:rsidR="002E307E" w:rsidRDefault="002E307E" w:rsidP="002E307E">
      <w:pPr>
        <w:pBdr>
          <w:bottom w:val="single" w:sz="12" w:space="1" w:color="auto"/>
        </w:pBdr>
      </w:pPr>
    </w:p>
    <w:p w:rsidR="002E307E" w:rsidRDefault="002E307E" w:rsidP="002E307E">
      <w:pPr>
        <w:pBdr>
          <w:bottom w:val="single" w:sz="12" w:space="1" w:color="auto"/>
        </w:pBdr>
      </w:pPr>
    </w:p>
    <w:p w:rsidR="002E307E" w:rsidRDefault="002E307E" w:rsidP="002E307E">
      <w:pPr>
        <w:pBdr>
          <w:bottom w:val="single" w:sz="12" w:space="1" w:color="auto"/>
        </w:pBdr>
      </w:pPr>
    </w:p>
    <w:p w:rsidR="002E307E" w:rsidRPr="005B316A" w:rsidRDefault="002E307E" w:rsidP="002E307E"/>
    <w:p w:rsidR="002E307E" w:rsidRDefault="002E307E" w:rsidP="002E307E">
      <w:pPr>
        <w:jc w:val="center"/>
        <w:rPr>
          <w:b/>
          <w:spacing w:val="60"/>
          <w:sz w:val="28"/>
          <w:szCs w:val="28"/>
        </w:rPr>
      </w:pPr>
      <w:r w:rsidRPr="0001375A">
        <w:rPr>
          <w:b/>
          <w:spacing w:val="60"/>
          <w:sz w:val="28"/>
          <w:szCs w:val="28"/>
        </w:rPr>
        <w:t>BRNO 20</w:t>
      </w:r>
      <w:r>
        <w:rPr>
          <w:b/>
          <w:spacing w:val="60"/>
          <w:sz w:val="28"/>
          <w:szCs w:val="28"/>
        </w:rPr>
        <w:t>17</w:t>
      </w:r>
    </w:p>
    <w:p w:rsidR="00F01B70" w:rsidRDefault="00F01B70" w:rsidP="00F01B70">
      <w:pPr>
        <w:pStyle w:val="StylNadpis1TimesNewRoman12bTunDoleva"/>
        <w:numPr>
          <w:ilvl w:val="0"/>
          <w:numId w:val="0"/>
        </w:numPr>
        <w:rPr>
          <w:b w:val="0"/>
        </w:rPr>
      </w:pPr>
      <w:r w:rsidRPr="00492D0A">
        <w:lastRenderedPageBreak/>
        <w:t>LITERATURA</w:t>
      </w:r>
    </w:p>
    <w:p w:rsidR="00F01B70" w:rsidRDefault="00F01B70" w:rsidP="00F01B70">
      <w:pPr>
        <w:rPr>
          <w:b/>
          <w:sz w:val="28"/>
          <w:szCs w:val="28"/>
        </w:rPr>
      </w:pPr>
    </w:p>
    <w:p w:rsidR="00732D88" w:rsidRDefault="00732D88" w:rsidP="00640D22">
      <w:pPr>
        <w:pStyle w:val="2norml"/>
        <w:numPr>
          <w:ilvl w:val="0"/>
          <w:numId w:val="13"/>
        </w:numPr>
        <w:tabs>
          <w:tab w:val="clear" w:pos="737"/>
          <w:tab w:val="num" w:pos="900"/>
        </w:tabs>
        <w:ind w:left="900" w:hanging="540"/>
      </w:pPr>
      <w:r>
        <w:t>BLAŽEK, RÁBL. Základy zpracování ropy a ropných frakcí. VŠCHT v Praze. Praha. 2002.</w:t>
      </w:r>
    </w:p>
    <w:p w:rsidR="00230BF0" w:rsidRDefault="00230BF0" w:rsidP="00640D22">
      <w:pPr>
        <w:pStyle w:val="2norml"/>
        <w:numPr>
          <w:ilvl w:val="0"/>
          <w:numId w:val="13"/>
        </w:numPr>
        <w:tabs>
          <w:tab w:val="clear" w:pos="737"/>
          <w:tab w:val="num" w:pos="900"/>
        </w:tabs>
        <w:ind w:left="900" w:hanging="540"/>
      </w:pPr>
      <w:r>
        <w:t xml:space="preserve">MATĚJOVSKÝ. Automobilová paliva. </w:t>
      </w:r>
      <w:proofErr w:type="spellStart"/>
      <w:r>
        <w:t>Grada</w:t>
      </w:r>
      <w:proofErr w:type="spellEnd"/>
      <w:r>
        <w:t xml:space="preserve"> </w:t>
      </w:r>
      <w:proofErr w:type="spellStart"/>
      <w:r>
        <w:t>Publishing</w:t>
      </w:r>
      <w:proofErr w:type="spellEnd"/>
      <w:r>
        <w:t>, a.s. Praha 2005.</w:t>
      </w:r>
    </w:p>
    <w:p w:rsidR="007715B8" w:rsidRDefault="007715B8" w:rsidP="007715B8">
      <w:pPr>
        <w:pStyle w:val="2norml"/>
        <w:numPr>
          <w:ilvl w:val="0"/>
          <w:numId w:val="13"/>
        </w:numPr>
        <w:tabs>
          <w:tab w:val="clear" w:pos="737"/>
          <w:tab w:val="num" w:pos="900"/>
        </w:tabs>
        <w:ind w:left="900" w:hanging="540"/>
      </w:pPr>
      <w:r>
        <w:t>CÍLEK</w:t>
      </w:r>
      <w:r w:rsidRPr="00FB4341">
        <w:t xml:space="preserve">, </w:t>
      </w:r>
      <w:r>
        <w:t>V</w:t>
      </w:r>
      <w:r w:rsidRPr="00FB4341">
        <w:t xml:space="preserve">., </w:t>
      </w:r>
      <w:r>
        <w:t>KAŠÍK,</w:t>
      </w:r>
      <w:r w:rsidRPr="00FB4341">
        <w:t xml:space="preserve"> </w:t>
      </w:r>
      <w:r>
        <w:t>M</w:t>
      </w:r>
      <w:r w:rsidRPr="00FB4341">
        <w:t>.:</w:t>
      </w:r>
      <w:r>
        <w:t xml:space="preserve"> </w:t>
      </w:r>
      <w:r>
        <w:rPr>
          <w:i/>
        </w:rPr>
        <w:t xml:space="preserve">Nejistý </w:t>
      </w:r>
      <w:proofErr w:type="gramStart"/>
      <w:r>
        <w:rPr>
          <w:i/>
        </w:rPr>
        <w:t>plamen</w:t>
      </w:r>
      <w:r w:rsidRPr="00FB4341">
        <w:rPr>
          <w:i/>
        </w:rPr>
        <w:t>i.</w:t>
      </w:r>
      <w:r>
        <w:t>2. vyd.</w:t>
      </w:r>
      <w:proofErr w:type="gramEnd"/>
      <w:r w:rsidRPr="008177D0">
        <w:t xml:space="preserve"> </w:t>
      </w:r>
      <w:r>
        <w:t>Praha</w:t>
      </w:r>
      <w:r w:rsidRPr="008177D0">
        <w:t>: Vydavatelství</w:t>
      </w:r>
      <w:r>
        <w:t xml:space="preserve"> Dokořán, s.r.o.,</w:t>
      </w:r>
      <w:r w:rsidRPr="008177D0">
        <w:t xml:space="preserve"> 2008.</w:t>
      </w:r>
      <w:r w:rsidRPr="00FB4341">
        <w:rPr>
          <w:i/>
        </w:rPr>
        <w:t xml:space="preserve"> </w:t>
      </w:r>
      <w:r w:rsidRPr="00E61F32">
        <w:t>s. 20</w:t>
      </w:r>
      <w:r w:rsidRPr="00FB4341">
        <w:t>.  ISBN 978-80-</w:t>
      </w:r>
      <w:r>
        <w:t>7363</w:t>
      </w:r>
      <w:r w:rsidRPr="00FB4341">
        <w:t>-</w:t>
      </w:r>
      <w:r>
        <w:t>218</w:t>
      </w:r>
      <w:r w:rsidRPr="00FB4341">
        <w:t>-</w:t>
      </w:r>
      <w:r>
        <w:t>2</w:t>
      </w:r>
    </w:p>
    <w:p w:rsidR="00F01B70" w:rsidRDefault="001412D0" w:rsidP="00640D22">
      <w:pPr>
        <w:pStyle w:val="literaturatext"/>
        <w:numPr>
          <w:ilvl w:val="0"/>
          <w:numId w:val="13"/>
        </w:numPr>
        <w:tabs>
          <w:tab w:val="clear" w:pos="737"/>
          <w:tab w:val="num" w:pos="900"/>
        </w:tabs>
        <w:ind w:left="900" w:hanging="540"/>
      </w:pPr>
      <w:hyperlink r:id="rId9" w:history="1">
        <w:r w:rsidR="006A1765" w:rsidRPr="00250D20">
          <w:rPr>
            <w:rStyle w:val="Hypertextovodkaz"/>
          </w:rPr>
          <w:t>http://www.reflex.cz/Clanek30244.html</w:t>
        </w:r>
      </w:hyperlink>
    </w:p>
    <w:p w:rsidR="006A1765" w:rsidRDefault="001412D0" w:rsidP="00640D22">
      <w:pPr>
        <w:pStyle w:val="literaturatext"/>
        <w:numPr>
          <w:ilvl w:val="0"/>
          <w:numId w:val="13"/>
        </w:numPr>
        <w:tabs>
          <w:tab w:val="clear" w:pos="737"/>
          <w:tab w:val="num" w:pos="900"/>
        </w:tabs>
        <w:ind w:left="900" w:hanging="540"/>
      </w:pPr>
      <w:hyperlink r:id="rId10" w:history="1">
        <w:r w:rsidR="006A1765" w:rsidRPr="00250D20">
          <w:rPr>
            <w:rStyle w:val="Hypertextovodkaz"/>
          </w:rPr>
          <w:t>http://www.merocr.eu/files/ropa_ropa_ropa.pdf</w:t>
        </w:r>
      </w:hyperlink>
    </w:p>
    <w:p w:rsidR="00F01B70" w:rsidRDefault="001412D0" w:rsidP="00640D22">
      <w:pPr>
        <w:pStyle w:val="literaturatext"/>
        <w:numPr>
          <w:ilvl w:val="0"/>
          <w:numId w:val="13"/>
        </w:numPr>
        <w:tabs>
          <w:tab w:val="clear" w:pos="737"/>
          <w:tab w:val="num" w:pos="900"/>
        </w:tabs>
        <w:ind w:left="900" w:hanging="540"/>
      </w:pPr>
      <w:hyperlink r:id="rId11" w:history="1">
        <w:r w:rsidR="00C26BF6" w:rsidRPr="00795A54">
          <w:rPr>
            <w:rStyle w:val="Hypertextovodkaz"/>
          </w:rPr>
          <w:t>http://www.eia.doe.gov/basics/quickoil.html</w:t>
        </w:r>
      </w:hyperlink>
    </w:p>
    <w:p w:rsidR="00C26BF6" w:rsidRPr="006A1765" w:rsidRDefault="00C26BF6" w:rsidP="00640D22">
      <w:pPr>
        <w:pStyle w:val="literaturatext"/>
        <w:numPr>
          <w:ilvl w:val="0"/>
          <w:numId w:val="13"/>
        </w:numPr>
        <w:tabs>
          <w:tab w:val="clear" w:pos="737"/>
          <w:tab w:val="num" w:pos="900"/>
        </w:tabs>
        <w:ind w:left="900" w:hanging="540"/>
        <w:sectPr w:rsidR="00C26BF6" w:rsidRPr="006A1765" w:rsidSect="002E307E">
          <w:footerReference w:type="even" r:id="rId12"/>
          <w:footerReference w:type="default" r:id="rId13"/>
          <w:pgSz w:w="11906" w:h="16838"/>
          <w:pgMar w:top="1418" w:right="1134" w:bottom="1418" w:left="1021" w:header="709" w:footer="709" w:gutter="0"/>
          <w:cols w:space="708"/>
          <w:titlePg/>
          <w:docGrid w:linePitch="360"/>
        </w:sectPr>
      </w:pPr>
    </w:p>
    <w:p w:rsidR="007D393B" w:rsidRDefault="007D393B" w:rsidP="00207347">
      <w:pPr>
        <w:pStyle w:val="Nadpis1"/>
        <w:numPr>
          <w:ilvl w:val="0"/>
          <w:numId w:val="0"/>
        </w:numPr>
      </w:pPr>
      <w:r>
        <w:lastRenderedPageBreak/>
        <w:t>ÚVOD</w:t>
      </w:r>
    </w:p>
    <w:p w:rsidR="004546BE" w:rsidRDefault="00F76A0F" w:rsidP="00161034">
      <w:pPr>
        <w:pStyle w:val="azkladntext"/>
      </w:pPr>
      <w:r>
        <w:t xml:space="preserve">Provoz vojenské techniky je charakteristický širokým spektrem činností, které je nutné </w:t>
      </w:r>
      <w:r w:rsidR="0060411B">
        <w:t xml:space="preserve">důsledně </w:t>
      </w:r>
      <w:r>
        <w:t>realizovat</w:t>
      </w:r>
      <w:r w:rsidR="0060411B">
        <w:t xml:space="preserve">, aby tato oblast  </w:t>
      </w:r>
      <w:r w:rsidR="00262267">
        <w:t>negativně neovlivnila činnost útvaru</w:t>
      </w:r>
      <w:r w:rsidR="0060411B">
        <w:t xml:space="preserve">. Jednu z hlavních úloh </w:t>
      </w:r>
      <w:r>
        <w:t xml:space="preserve">v provozu vojenské techniky </w:t>
      </w:r>
      <w:r w:rsidR="0060411B">
        <w:t xml:space="preserve">také </w:t>
      </w:r>
      <w:r>
        <w:t xml:space="preserve">sehrávají </w:t>
      </w:r>
      <w:r w:rsidR="003F6109">
        <w:t>PHM</w:t>
      </w:r>
      <w:r w:rsidR="0060411B">
        <w:t xml:space="preserve">. </w:t>
      </w:r>
      <w:r w:rsidR="003F6109">
        <w:t xml:space="preserve"> </w:t>
      </w:r>
      <w:r w:rsidR="0060411B">
        <w:t>S</w:t>
      </w:r>
      <w:r w:rsidR="003F6109">
        <w:t>vou kvalitou</w:t>
      </w:r>
      <w:r w:rsidR="0016582D">
        <w:t xml:space="preserve"> a širokým sortimentem </w:t>
      </w:r>
      <w:r w:rsidR="003F6109">
        <w:t xml:space="preserve"> vytváří jeden ze základních předpokladů pro spolehlivý provoz techniky.</w:t>
      </w:r>
      <w:r w:rsidR="008B6AC8">
        <w:t xml:space="preserve"> Význam tohoto tvrzení je také </w:t>
      </w:r>
      <w:r w:rsidR="00EA3348">
        <w:t>zvýrazněn</w:t>
      </w:r>
      <w:r w:rsidR="008B6AC8">
        <w:t xml:space="preserve"> vydáním vyhlášky </w:t>
      </w:r>
      <w:r w:rsidR="008B6AC8" w:rsidRPr="008B6AC8">
        <w:t>229/2004 požadavky na pohonné hmoty pro provoz vozidel na pozemních komunikacích a způsob sledování a monitorování jejich jakosti.</w:t>
      </w:r>
      <w:r w:rsidR="005409A9">
        <w:rPr>
          <w:rStyle w:val="StylArial"/>
        </w:rPr>
        <w:t xml:space="preserve"> </w:t>
      </w:r>
      <w:r w:rsidR="003F6109">
        <w:t>Aby toto tvrzení bylo</w:t>
      </w:r>
      <w:r w:rsidR="005409A9">
        <w:t xml:space="preserve"> také i</w:t>
      </w:r>
      <w:r w:rsidR="003F6109">
        <w:t xml:space="preserve"> pravdivé</w:t>
      </w:r>
      <w:r w:rsidR="001809BD">
        <w:t>,</w:t>
      </w:r>
      <w:r w:rsidR="003F6109">
        <w:t xml:space="preserve"> </w:t>
      </w:r>
      <w:r w:rsidR="00161034">
        <w:t xml:space="preserve"> </w:t>
      </w:r>
      <w:r w:rsidR="003F6109">
        <w:t xml:space="preserve">je potřebné </w:t>
      </w:r>
      <w:r w:rsidR="00161034">
        <w:t>z</w:t>
      </w:r>
      <w:r w:rsidR="003F6109">
        <w:t xml:space="preserve">odpovědně dodržovat stanovené zásady pro manipulaci s PHM, kde je nutné se </w:t>
      </w:r>
      <w:r w:rsidR="00F01B70">
        <w:t xml:space="preserve">zaměřit </w:t>
      </w:r>
      <w:r w:rsidR="003F6109">
        <w:t>především na</w:t>
      </w:r>
      <w:r w:rsidR="001809BD">
        <w:t xml:space="preserve"> </w:t>
      </w:r>
      <w:r w:rsidR="006E354A">
        <w:t>jejich příjem, skladování</w:t>
      </w:r>
      <w:r w:rsidR="003F6109">
        <w:t xml:space="preserve">  a výdej do techniky. Právě v průběhu těchto </w:t>
      </w:r>
      <w:r w:rsidR="006E354A">
        <w:t>procesů</w:t>
      </w:r>
      <w:r w:rsidR="003F6109">
        <w:t>, na základě zkušeností činnosti útvarů AČR, zpravidla dochází k naruš</w:t>
      </w:r>
      <w:r w:rsidR="00F01B70">
        <w:t>ení</w:t>
      </w:r>
      <w:r w:rsidR="003F6109">
        <w:t xml:space="preserve"> kvality PHM. Každé snížení kvality PHM v určité míře ovlivňuje spolehlivý provoz vojenské techniky. Některé projevy zhoršené kvality PHM zjistíme okamžitě</w:t>
      </w:r>
      <w:r w:rsidR="001809BD">
        <w:t xml:space="preserve">, tím že musíme řešit </w:t>
      </w:r>
      <w:r w:rsidR="00EA3348">
        <w:t>problémy s technikou</w:t>
      </w:r>
      <w:r w:rsidR="001809BD">
        <w:t>, která zůstala na komunikaci. V lepším případě se bude jednat pouze o závadu, která bude zapříčiněna zaneseným palivovým systém mechanickými nečistotami. V horším případě může dojít k </w:t>
      </w:r>
      <w:r w:rsidR="00EA3348">
        <w:t>poškození</w:t>
      </w:r>
      <w:r w:rsidR="001809BD">
        <w:t xml:space="preserve"> motoru, což bude mít podstatně  širší důsledky při řešení škody na majetku AČR.</w:t>
      </w:r>
      <w:r w:rsidR="003F6109">
        <w:t xml:space="preserve">  </w:t>
      </w:r>
    </w:p>
    <w:p w:rsidR="00207347" w:rsidRPr="00207347" w:rsidRDefault="00207347" w:rsidP="00207347"/>
    <w:p w:rsidR="00DC69D6" w:rsidRDefault="00DC69D6" w:rsidP="001057A7">
      <w:pPr>
        <w:pStyle w:val="Nadpis1"/>
      </w:pPr>
      <w:r>
        <w:t>ROPA</w:t>
      </w:r>
    </w:p>
    <w:p w:rsidR="00DC69D6" w:rsidRPr="00C4300D" w:rsidRDefault="00DC69D6" w:rsidP="00DC69D6">
      <w:pPr>
        <w:pStyle w:val="azkladntext"/>
      </w:pPr>
      <w:r w:rsidRPr="00C4300D">
        <w:t>Ropa představuje jeden ze základních energetických zdrojů naší planety a kromě toho stále</w:t>
      </w:r>
      <w:r>
        <w:t xml:space="preserve"> vzrůstá její význam jako průmyslové suroviny. Rafinací se z ní získávají (postupně podle bodu varu) uhlovodíkové plyny (propan, butan), benzín, petrolej, plynový olej (který se mísí a petrolejem a slouží jako motorová nafta), mazací oleje, plastická maziva a asfaltové výrobky.</w:t>
      </w:r>
    </w:p>
    <w:p w:rsidR="00DC69D6" w:rsidRDefault="00DC69D6" w:rsidP="00DC69D6">
      <w:pPr>
        <w:pStyle w:val="azkladntext"/>
      </w:pPr>
      <w:r>
        <w:t>Ropa byla známa a pod různými názvy využívána již od starověku. Podle řeckých i římských historiků v 7. století př. Kr. Asyřané a později i Peršané ji těžili ze studní. Rozlišovali dokonce ropu světlou od tmavé. Světlé říkali "</w:t>
      </w:r>
      <w:proofErr w:type="spellStart"/>
      <w:r>
        <w:t>nafata</w:t>
      </w:r>
      <w:proofErr w:type="spellEnd"/>
      <w:r>
        <w:t xml:space="preserve">", což značilo "prosakující kapalina".  Přibližně od 11. století ji lidé v určité míře dokázali destilovat. Výsledkem byla mazadla pro nápravy kol, olej do lamp i základ do lakýrnických prostředků. Prvenství mezi objeviteli ropy v Evropě se přiznává polskému lékaři        I. </w:t>
      </w:r>
      <w:proofErr w:type="spellStart"/>
      <w:r>
        <w:lastRenderedPageBreak/>
        <w:t>Lukasiewiczovi</w:t>
      </w:r>
      <w:proofErr w:type="spellEnd"/>
      <w:r>
        <w:t xml:space="preserve">. Ten roku 1854 zahájil v </w:t>
      </w:r>
      <w:proofErr w:type="spellStart"/>
      <w:r>
        <w:t>Bóbrce</w:t>
      </w:r>
      <w:proofErr w:type="spellEnd"/>
      <w:r>
        <w:t xml:space="preserve"> u Krosna těžbu a ve stejnou dobu založil i první rafinerii u </w:t>
      </w:r>
      <w:proofErr w:type="spellStart"/>
      <w:r>
        <w:t>Jasla</w:t>
      </w:r>
      <w:proofErr w:type="spellEnd"/>
      <w:r>
        <w:t xml:space="preserve">. Podle jeho příkladu vznikla pak řada dalších těžebních zařízení. </w:t>
      </w:r>
    </w:p>
    <w:p w:rsidR="00DC69D6" w:rsidRDefault="00DC69D6" w:rsidP="00DC69D6">
      <w:pPr>
        <w:pStyle w:val="azkladntext"/>
      </w:pPr>
      <w:r w:rsidRPr="00E2522D">
        <w:rPr>
          <w:b/>
        </w:rPr>
        <w:t>Za zrod amerického naftového průmyslu se však považuje 27. srpen 1859</w:t>
      </w:r>
      <w:r w:rsidRPr="00735F4A">
        <w:t xml:space="preserve">, kdy </w:t>
      </w:r>
      <w:r w:rsidRPr="00735F4A">
        <w:rPr>
          <w:bCs/>
        </w:rPr>
        <w:t xml:space="preserve">Edwin </w:t>
      </w:r>
      <w:proofErr w:type="spellStart"/>
      <w:r w:rsidRPr="00735F4A">
        <w:rPr>
          <w:bCs/>
        </w:rPr>
        <w:t>Drake</w:t>
      </w:r>
      <w:proofErr w:type="spellEnd"/>
      <w:r w:rsidRPr="00735F4A">
        <w:t xml:space="preserve"> vrtá první produkční vrt v </w:t>
      </w:r>
      <w:proofErr w:type="spellStart"/>
      <w:r w:rsidRPr="00735F4A">
        <w:t>Titusville</w:t>
      </w:r>
      <w:proofErr w:type="spellEnd"/>
      <w:r w:rsidRPr="00735F4A">
        <w:t xml:space="preserve">. </w:t>
      </w:r>
      <w:r w:rsidR="00161034">
        <w:t xml:space="preserve"> </w:t>
      </w:r>
      <w:r w:rsidRPr="00735F4A">
        <w:t xml:space="preserve">Roku 1870 vstupuje do ropného rafinérského průmyslu </w:t>
      </w:r>
      <w:r w:rsidRPr="00735F4A">
        <w:rPr>
          <w:bCs/>
        </w:rPr>
        <w:t xml:space="preserve">John </w:t>
      </w:r>
      <w:proofErr w:type="spellStart"/>
      <w:r w:rsidRPr="00735F4A">
        <w:rPr>
          <w:bCs/>
        </w:rPr>
        <w:t>Davison</w:t>
      </w:r>
      <w:proofErr w:type="spellEnd"/>
      <w:r w:rsidRPr="00735F4A">
        <w:rPr>
          <w:bCs/>
        </w:rPr>
        <w:t xml:space="preserve"> Rockefeller</w:t>
      </w:r>
      <w:r w:rsidRPr="00735F4A">
        <w:t xml:space="preserve"> a zakládá známou společnost Standard </w:t>
      </w:r>
      <w:proofErr w:type="spellStart"/>
      <w:r w:rsidRPr="00735F4A">
        <w:t>Oil</w:t>
      </w:r>
      <w:proofErr w:type="spellEnd"/>
      <w:r w:rsidRPr="00735F4A">
        <w:t xml:space="preserve"> </w:t>
      </w:r>
      <w:proofErr w:type="spellStart"/>
      <w:r w:rsidRPr="00735F4A">
        <w:t>Company</w:t>
      </w:r>
      <w:proofErr w:type="spellEnd"/>
      <w:r w:rsidRPr="00735F4A">
        <w:t>. Následně začal uskutečňovat svůj prozíravý plán</w:t>
      </w:r>
      <w:r w:rsidR="00161034">
        <w:t>,</w:t>
      </w:r>
      <w:r w:rsidRPr="00735F4A">
        <w:t xml:space="preserve"> jehož cílem bylo postupně ovládnout značnou část ropného průmyslu v Americe. Začal skupovat ostatní ropné společnosti, takže v roce 1882 vlastnil již 95% amerických ropných rafinérií. </w:t>
      </w:r>
    </w:p>
    <w:tbl>
      <w:tblPr>
        <w:tblStyle w:val="Mkatabulky"/>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3300"/>
      </w:tblGrid>
      <w:tr w:rsidR="0039076E" w:rsidTr="0039076E">
        <w:tc>
          <w:tcPr>
            <w:tcW w:w="3930" w:type="dxa"/>
          </w:tcPr>
          <w:p w:rsidR="0039076E" w:rsidRDefault="0039076E" w:rsidP="0039076E">
            <w:pPr>
              <w:pStyle w:val="azkladntext"/>
              <w:ind w:firstLine="0"/>
              <w:jc w:val="center"/>
            </w:pPr>
            <w:r w:rsidRPr="00D46360">
              <w:rPr>
                <w:noProof/>
              </w:rPr>
              <w:drawing>
                <wp:inline distT="0" distB="0" distL="0" distR="0">
                  <wp:extent cx="1847850" cy="1809750"/>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809750"/>
                          </a:xfrm>
                          <a:prstGeom prst="rect">
                            <a:avLst/>
                          </a:prstGeom>
                          <a:noFill/>
                          <a:ln>
                            <a:noFill/>
                          </a:ln>
                        </pic:spPr>
                      </pic:pic>
                    </a:graphicData>
                  </a:graphic>
                </wp:inline>
              </w:drawing>
            </w:r>
          </w:p>
          <w:p w:rsidR="0039076E" w:rsidRDefault="0039076E" w:rsidP="0039076E">
            <w:pPr>
              <w:pStyle w:val="azkladntext"/>
              <w:keepNext/>
              <w:tabs>
                <w:tab w:val="clear" w:pos="709"/>
              </w:tabs>
              <w:spacing w:before="0"/>
              <w:ind w:firstLine="0"/>
              <w:jc w:val="left"/>
            </w:pPr>
            <w:r>
              <w:t xml:space="preserve">Obrázek </w:t>
            </w:r>
            <w:fldSimple w:instr=" SEQ Obrázek \* ARABIC ">
              <w:r>
                <w:rPr>
                  <w:noProof/>
                </w:rPr>
                <w:t>1</w:t>
              </w:r>
            </w:fldSimple>
            <w:r>
              <w:t xml:space="preserve"> plukovník Edwin </w:t>
            </w:r>
            <w:proofErr w:type="spellStart"/>
            <w:r>
              <w:t>Drake</w:t>
            </w:r>
            <w:proofErr w:type="spellEnd"/>
            <w:r>
              <w:t xml:space="preserve">   </w:t>
            </w:r>
          </w:p>
        </w:tc>
        <w:tc>
          <w:tcPr>
            <w:tcW w:w="3300" w:type="dxa"/>
          </w:tcPr>
          <w:p w:rsidR="0039076E" w:rsidRDefault="0039076E" w:rsidP="0039076E">
            <w:pPr>
              <w:pStyle w:val="azkladntext"/>
              <w:ind w:firstLine="0"/>
              <w:jc w:val="center"/>
            </w:pPr>
            <w:r w:rsidRPr="00D46360">
              <w:rPr>
                <w:noProof/>
              </w:rPr>
              <w:drawing>
                <wp:inline distT="0" distB="0" distL="0" distR="0">
                  <wp:extent cx="1492250" cy="1809750"/>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250" cy="1809750"/>
                          </a:xfrm>
                          <a:prstGeom prst="rect">
                            <a:avLst/>
                          </a:prstGeom>
                          <a:noFill/>
                          <a:ln>
                            <a:noFill/>
                          </a:ln>
                        </pic:spPr>
                      </pic:pic>
                    </a:graphicData>
                  </a:graphic>
                </wp:inline>
              </w:drawing>
            </w:r>
          </w:p>
          <w:p w:rsidR="0039076E" w:rsidRDefault="0039076E" w:rsidP="0039076E">
            <w:pPr>
              <w:pStyle w:val="azkltext-sted"/>
              <w:tabs>
                <w:tab w:val="clear" w:pos="709"/>
              </w:tabs>
              <w:spacing w:after="0"/>
            </w:pPr>
            <w:r>
              <w:t xml:space="preserve">Obrázek </w:t>
            </w:r>
            <w:fldSimple w:instr=" SEQ Obrázek \* ARABIC ">
              <w:r>
                <w:rPr>
                  <w:noProof/>
                </w:rPr>
                <w:t>2</w:t>
              </w:r>
            </w:fldSimple>
            <w:r>
              <w:t xml:space="preserve">    Drakův vrt</w:t>
            </w:r>
          </w:p>
        </w:tc>
      </w:tr>
    </w:tbl>
    <w:p w:rsidR="00207347" w:rsidRPr="00306F68" w:rsidRDefault="00207347" w:rsidP="00207347">
      <w:pPr>
        <w:pStyle w:val="Nadpis2"/>
      </w:pPr>
      <w:bookmarkStart w:id="0" w:name="_Vznik_ropy"/>
      <w:bookmarkEnd w:id="0"/>
      <w:r>
        <w:t>Vznik ropy</w:t>
      </w:r>
    </w:p>
    <w:p w:rsidR="00207347" w:rsidRDefault="00207347" w:rsidP="00207347">
      <w:pPr>
        <w:pStyle w:val="azkladntext"/>
      </w:pPr>
      <w:r>
        <w:t xml:space="preserve">Ropa je surovina, která migruje mezi horninami a její konkrétní místo vzniku vzhledem její migraci je velice obtížné určit. V průběhu pohybu docházelo k absorpci </w:t>
      </w:r>
      <w:r w:rsidR="0039076E">
        <w:t>řady</w:t>
      </w:r>
      <w:r>
        <w:t xml:space="preserve"> látek z okolní horniny, které měly do určité míry vliv na složení ropy a její vlastnosti.  Proto se složení původní ropy, může výrazně lišit od ropy, která je těžena ze současných nalezišť. Z uvedeného důvodu jsou diskuse na téma vzniku ropy v odborné veřejnosti spojeny s několika skupinami teorií</w:t>
      </w:r>
      <w:r w:rsidR="0039076E">
        <w:rPr>
          <w:noProof/>
        </w:rPr>
        <w:t xml:space="preserve"> </w:t>
      </w:r>
      <w:sdt>
        <w:sdtPr>
          <w:rPr>
            <w:noProof/>
          </w:rPr>
          <w:id w:val="112409210"/>
          <w:citation/>
        </w:sdtPr>
        <w:sdtContent>
          <w:r w:rsidR="0039076E">
            <w:rPr>
              <w:noProof/>
            </w:rPr>
            <w:fldChar w:fldCharType="begin"/>
          </w:r>
          <w:r w:rsidR="0039076E">
            <w:rPr>
              <w:noProof/>
            </w:rPr>
            <w:instrText xml:space="preserve"> CITATION CÍL82 \l 1029 </w:instrText>
          </w:r>
          <w:r w:rsidR="0039076E">
            <w:rPr>
              <w:noProof/>
            </w:rPr>
            <w:fldChar w:fldCharType="separate"/>
          </w:r>
          <w:r w:rsidR="0039076E">
            <w:rPr>
              <w:noProof/>
            </w:rPr>
            <w:t>[1]</w:t>
          </w:r>
          <w:r w:rsidR="0039076E">
            <w:rPr>
              <w:noProof/>
            </w:rPr>
            <w:fldChar w:fldCharType="end"/>
          </w:r>
        </w:sdtContent>
      </w:sdt>
      <w:r>
        <w:t xml:space="preserve">. </w:t>
      </w:r>
    </w:p>
    <w:p w:rsidR="00207347" w:rsidRDefault="00207347" w:rsidP="00207347">
      <w:pPr>
        <w:pStyle w:val="azkladntext"/>
      </w:pPr>
      <w:r>
        <w:t>Tyto teorie o vzniku ropy lze rozdělit do dvou základních skupin:</w:t>
      </w:r>
    </w:p>
    <w:p w:rsidR="00207347" w:rsidRDefault="00207347" w:rsidP="00207347">
      <w:pPr>
        <w:pStyle w:val="odrka2"/>
      </w:pPr>
      <w:r>
        <w:t>anorganická teorie</w:t>
      </w:r>
      <w:r w:rsidR="0039076E">
        <w:t>,</w:t>
      </w:r>
    </w:p>
    <w:p w:rsidR="00207347" w:rsidRDefault="00207347" w:rsidP="00207347">
      <w:pPr>
        <w:pStyle w:val="odrka2"/>
      </w:pPr>
      <w:r>
        <w:t>organická teorie</w:t>
      </w:r>
      <w:r w:rsidR="0039076E">
        <w:t xml:space="preserve"> </w:t>
      </w:r>
      <w:sdt>
        <w:sdtPr>
          <w:id w:val="-1529638902"/>
          <w:citation/>
        </w:sdtPr>
        <w:sdtContent>
          <w:r w:rsidR="0039076E">
            <w:fldChar w:fldCharType="begin"/>
          </w:r>
          <w:r w:rsidR="0039076E">
            <w:instrText xml:space="preserve"> CITATION CÍL82 \l 1029 </w:instrText>
          </w:r>
          <w:r w:rsidR="0039076E">
            <w:fldChar w:fldCharType="separate"/>
          </w:r>
          <w:r w:rsidR="0039076E" w:rsidRPr="0039076E">
            <w:rPr>
              <w:noProof/>
            </w:rPr>
            <w:t>[1]</w:t>
          </w:r>
          <w:r w:rsidR="0039076E">
            <w:fldChar w:fldCharType="end"/>
          </w:r>
        </w:sdtContent>
      </w:sdt>
      <w:r w:rsidR="0039076E">
        <w:t>.</w:t>
      </w:r>
    </w:p>
    <w:p w:rsidR="00207347" w:rsidRDefault="00207347" w:rsidP="00207347">
      <w:pPr>
        <w:pStyle w:val="azkladntext"/>
      </w:pPr>
      <w:r>
        <w:t xml:space="preserve">Podle anorganické teorie se předpokládá, že ropa vznikla anorganickým sloučením např. reakcí karbidů některých kovů s vodou nebo reakcí oxidů uhlíku s vodní párou. </w:t>
      </w:r>
    </w:p>
    <w:p w:rsidR="00207347" w:rsidRDefault="00207347" w:rsidP="00207347">
      <w:pPr>
        <w:pStyle w:val="azkladntext"/>
      </w:pPr>
      <w:r>
        <w:lastRenderedPageBreak/>
        <w:t>Naopak organická teorie předpokládá, že ropa vznikla z organizmů, které žil</w:t>
      </w:r>
      <w:r w:rsidR="00581BAF">
        <w:t>y</w:t>
      </w:r>
      <w:r>
        <w:t xml:space="preserve"> ve </w:t>
      </w:r>
      <w:r w:rsidR="00581BAF">
        <w:t>slaných a smíšených vodách. O</w:t>
      </w:r>
      <w:r>
        <w:t xml:space="preserve">rganizmy, </w:t>
      </w:r>
      <w:r w:rsidR="00581BAF">
        <w:t>vznikaly</w:t>
      </w:r>
      <w:r>
        <w:t xml:space="preserve"> v obrovských množstvích</w:t>
      </w:r>
      <w:r w:rsidR="00702314">
        <w:t xml:space="preserve"> a po odumření se hromadili</w:t>
      </w:r>
      <w:r>
        <w:t xml:space="preserve"> na dně zejména vnitrozemních </w:t>
      </w:r>
      <w:r w:rsidR="00581BAF">
        <w:t>(šelfových) moří a lagun, mísily</w:t>
      </w:r>
      <w:r>
        <w:t xml:space="preserve"> se s dalším</w:t>
      </w:r>
      <w:r w:rsidR="0039076E">
        <w:t>i organickými látkami, podléhal</w:t>
      </w:r>
      <w:r w:rsidR="00581BAF">
        <w:t>y</w:t>
      </w:r>
      <w:r>
        <w:t xml:space="preserve"> hnilobě a vytvářely tzv. </w:t>
      </w:r>
      <w:proofErr w:type="spellStart"/>
      <w:r>
        <w:t>sapropel</w:t>
      </w:r>
      <w:proofErr w:type="spellEnd"/>
      <w:r>
        <w:t>. Některé látky se o</w:t>
      </w:r>
      <w:r w:rsidR="00702314">
        <w:t>dplavily a některé se rozpusti</w:t>
      </w:r>
      <w:r w:rsidR="0039076E">
        <w:t>l</w:t>
      </w:r>
      <w:r w:rsidR="00702314">
        <w:t>y</w:t>
      </w:r>
      <w:r>
        <w:t>. V usazeninách se tak hromadily především uhlovodíky.</w:t>
      </w:r>
      <w:r w:rsidR="00581BAF">
        <w:t xml:space="preserve"> Přírůstkem od několika centimetrů až po století vzniká obro</w:t>
      </w:r>
      <w:r w:rsidR="009A0795">
        <w:t>v</w:t>
      </w:r>
      <w:r w:rsidR="00581BAF">
        <w:t>ská množství sedimentu špatně zpevněných hornin. Nejčastěji to bývají šedé, jílovité pískovce</w:t>
      </w:r>
      <w:r w:rsidR="009A0795">
        <w:t xml:space="preserve"> a černé břidlice. Postupný proces tvorby ropy je prezentován na obrázku.</w:t>
      </w:r>
    </w:p>
    <w:p w:rsidR="00207347" w:rsidRDefault="0039076E" w:rsidP="00207347">
      <w:pPr>
        <w:pStyle w:val="subpicture"/>
        <w:jc w:val="right"/>
      </w:pPr>
      <w:r>
        <w:rPr>
          <w:noProof/>
        </w:rPr>
        <w:drawing>
          <wp:inline distT="0" distB="0" distL="0" distR="0">
            <wp:extent cx="5810250" cy="1593850"/>
            <wp:effectExtent l="0" t="0" r="0" b="0"/>
            <wp:docPr id="7" name="obrázek 7" descr="Faze nastanka nafte i prirodnog p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ze nastanka nafte i prirodnog pli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1593850"/>
                    </a:xfrm>
                    <a:prstGeom prst="rect">
                      <a:avLst/>
                    </a:prstGeom>
                    <a:noFill/>
                    <a:ln>
                      <a:noFill/>
                    </a:ln>
                  </pic:spPr>
                </pic:pic>
              </a:graphicData>
            </a:graphic>
          </wp:inline>
        </w:drawing>
      </w:r>
    </w:p>
    <w:p w:rsidR="00207347" w:rsidRDefault="00207347" w:rsidP="00207347">
      <w:pPr>
        <w:pStyle w:val="azkltext-sted"/>
      </w:pPr>
      <w:r>
        <w:t xml:space="preserve">Obrázek </w:t>
      </w:r>
      <w:fldSimple w:instr=" SEQ Obrázek \* ARABIC ">
        <w:r w:rsidR="00D46360">
          <w:rPr>
            <w:noProof/>
          </w:rPr>
          <w:t>3</w:t>
        </w:r>
      </w:fldSimple>
      <w:r>
        <w:t xml:space="preserve"> Znázorňuje postupný vznik ropy z pohledu organické teorie</w:t>
      </w:r>
    </w:p>
    <w:p w:rsidR="00207347" w:rsidRDefault="00207347" w:rsidP="00207347">
      <w:pPr>
        <w:pStyle w:val="azkladntext"/>
      </w:pPr>
      <w:r>
        <w:t xml:space="preserve">V průběhu jurské doby (před asi 144 - </w:t>
      </w:r>
      <w:smartTag w:uri="urn:schemas-microsoft-com:office:smarttags" w:element="metricconverter">
        <w:smartTagPr>
          <w:attr w:name="ProductID" w:val="213 mil"/>
        </w:smartTagPr>
        <w:r>
          <w:t>213 mil</w:t>
        </w:r>
      </w:smartTag>
      <w:r>
        <w:t>. let) pod tlakem nadložních vrstev za nepřístupu vzduchu při vznikání metanu a oxidu uhličitého a účinkem anaerobních bakterií z těchto zbytků pravděpodobně postupně vznikla kapalná ropa a také zemní plyn. Ropa se často nalézá v propadlých částech zemské kůry (geosynklinálách). Někdy se hromadí v pórovitých horninách (pískovcových nebo vápencových), které se chovají jako houba, a poněvadž je lehčí než voda, tak i ve vrstevních sedlech, často i v blízkosti ložisek soli. Tyto horniny jsou uloženy mezi nepórovitými, nepropustnými vrstvami, jimiž žádná kapalina procházet nemůže. Tento prostor geologové nazývají kapsa nebo ropný rezervoár</w:t>
      </w:r>
      <w:r w:rsidR="009A0795">
        <w:t xml:space="preserve"> </w:t>
      </w:r>
      <w:sdt>
        <w:sdtPr>
          <w:id w:val="-96718657"/>
          <w:citation/>
        </w:sdtPr>
        <w:sdtContent>
          <w:r w:rsidR="009A0795">
            <w:fldChar w:fldCharType="begin"/>
          </w:r>
          <w:r w:rsidR="009A0795">
            <w:instrText xml:space="preserve"> CITATION CÍL82 \l 1029 </w:instrText>
          </w:r>
          <w:r w:rsidR="009A0795">
            <w:fldChar w:fldCharType="separate"/>
          </w:r>
          <w:r w:rsidR="009A0795">
            <w:rPr>
              <w:noProof/>
            </w:rPr>
            <w:t>[1]</w:t>
          </w:r>
          <w:r w:rsidR="009A0795">
            <w:fldChar w:fldCharType="end"/>
          </w:r>
        </w:sdtContent>
      </w:sdt>
      <w:r>
        <w:t>.</w:t>
      </w:r>
    </w:p>
    <w:p w:rsidR="00207347" w:rsidRDefault="00207347" w:rsidP="00207347">
      <w:pPr>
        <w:pStyle w:val="azkladntext"/>
      </w:pPr>
      <w:r>
        <w:t>V současné době se odborná veřejnost přiklání k organické teorii.</w:t>
      </w:r>
    </w:p>
    <w:p w:rsidR="00DC69D6" w:rsidRDefault="00DC69D6" w:rsidP="001057A7">
      <w:pPr>
        <w:pStyle w:val="Nadpis2"/>
      </w:pPr>
      <w:bookmarkStart w:id="1" w:name="_Složení_ropy"/>
      <w:bookmarkEnd w:id="1"/>
      <w:r>
        <w:t>Složení ropy</w:t>
      </w:r>
    </w:p>
    <w:p w:rsidR="00DC69D6" w:rsidRDefault="00DC69D6" w:rsidP="00DC69D6">
      <w:pPr>
        <w:pStyle w:val="azkladntext"/>
        <w:rPr>
          <w:rFonts w:cs="Arial"/>
          <w:color w:val="222222"/>
          <w:sz w:val="26"/>
          <w:szCs w:val="26"/>
          <w:shd w:val="clear" w:color="auto" w:fill="FFFFFF"/>
        </w:rPr>
      </w:pPr>
      <w:r>
        <w:t>Ropa je kapalná směs uhlovodíků fosilního původu, které tvoří převážnou část lehkých frakcí rop</w:t>
      </w:r>
      <w:r w:rsidR="003F0A65">
        <w:t>.</w:t>
      </w:r>
      <w:r w:rsidR="001A4F1B">
        <w:t xml:space="preserve"> </w:t>
      </w:r>
      <w:r w:rsidR="001A4F1B">
        <w:rPr>
          <w:rFonts w:cs="Arial"/>
          <w:b/>
          <w:bCs/>
          <w:color w:val="222222"/>
          <w:sz w:val="26"/>
          <w:szCs w:val="26"/>
          <w:shd w:val="clear" w:color="auto" w:fill="FFFFFF"/>
        </w:rPr>
        <w:t>Uhlovodík</w:t>
      </w:r>
      <w:r w:rsidR="001A4F1B">
        <w:rPr>
          <w:rFonts w:cs="Arial"/>
          <w:color w:val="222222"/>
          <w:sz w:val="26"/>
          <w:szCs w:val="26"/>
          <w:shd w:val="clear" w:color="auto" w:fill="FFFFFF"/>
        </w:rPr>
        <w:t> je označení pro </w:t>
      </w:r>
      <w:hyperlink r:id="rId17" w:tooltip="Organická sloučenina" w:history="1">
        <w:r w:rsidR="001A4F1B">
          <w:rPr>
            <w:rStyle w:val="Hypertextovodkaz"/>
            <w:rFonts w:cs="Arial"/>
            <w:color w:val="0B0080"/>
            <w:sz w:val="26"/>
            <w:szCs w:val="26"/>
            <w:shd w:val="clear" w:color="auto" w:fill="FFFFFF"/>
          </w:rPr>
          <w:t>organickou sloučeninu</w:t>
        </w:r>
      </w:hyperlink>
      <w:r w:rsidR="001A4F1B">
        <w:rPr>
          <w:rFonts w:cs="Arial"/>
          <w:color w:val="222222"/>
          <w:sz w:val="26"/>
          <w:szCs w:val="26"/>
          <w:shd w:val="clear" w:color="auto" w:fill="FFFFFF"/>
        </w:rPr>
        <w:t>, jejíž </w:t>
      </w:r>
      <w:hyperlink r:id="rId18" w:tooltip="Molekula" w:history="1">
        <w:r w:rsidR="001A4F1B">
          <w:rPr>
            <w:rStyle w:val="Hypertextovodkaz"/>
            <w:rFonts w:cs="Arial"/>
            <w:color w:val="0B0080"/>
            <w:sz w:val="26"/>
            <w:szCs w:val="26"/>
            <w:shd w:val="clear" w:color="auto" w:fill="FFFFFF"/>
          </w:rPr>
          <w:t>molekula</w:t>
        </w:r>
      </w:hyperlink>
      <w:r w:rsidR="001A4F1B">
        <w:rPr>
          <w:rFonts w:cs="Arial"/>
          <w:color w:val="222222"/>
          <w:sz w:val="26"/>
          <w:szCs w:val="26"/>
          <w:shd w:val="clear" w:color="auto" w:fill="FFFFFF"/>
        </w:rPr>
        <w:t> se skládá pouze z </w:t>
      </w:r>
      <w:proofErr w:type="spellStart"/>
      <w:r w:rsidR="001412D0">
        <w:fldChar w:fldCharType="begin"/>
      </w:r>
      <w:r w:rsidR="001412D0">
        <w:instrText xml:space="preserve"> HYPERLINK "https://cs.wikipedia.org/wiki/Atom" \o "Atom" </w:instrText>
      </w:r>
      <w:r w:rsidR="001412D0">
        <w:fldChar w:fldCharType="separate"/>
      </w:r>
      <w:r w:rsidR="001A4F1B">
        <w:rPr>
          <w:rStyle w:val="Hypertextovodkaz"/>
          <w:rFonts w:cs="Arial"/>
          <w:color w:val="0B0080"/>
          <w:sz w:val="26"/>
          <w:szCs w:val="26"/>
          <w:shd w:val="clear" w:color="auto" w:fill="FFFFFF"/>
        </w:rPr>
        <w:t>atomů</w:t>
      </w:r>
      <w:r w:rsidR="001412D0">
        <w:rPr>
          <w:rStyle w:val="Hypertextovodkaz"/>
          <w:rFonts w:cs="Arial"/>
          <w:color w:val="0B0080"/>
          <w:sz w:val="26"/>
          <w:szCs w:val="26"/>
          <w:shd w:val="clear" w:color="auto" w:fill="FFFFFF"/>
        </w:rPr>
        <w:fldChar w:fldCharType="end"/>
      </w:r>
      <w:hyperlink r:id="rId19" w:tooltip="Uhlík" w:history="1">
        <w:r w:rsidR="001A4F1B">
          <w:rPr>
            <w:rStyle w:val="Hypertextovodkaz"/>
            <w:rFonts w:cs="Arial"/>
            <w:i/>
            <w:iCs/>
            <w:color w:val="0B0080"/>
            <w:sz w:val="26"/>
            <w:szCs w:val="26"/>
            <w:shd w:val="clear" w:color="auto" w:fill="FFFFFF"/>
          </w:rPr>
          <w:t>uhlíku</w:t>
        </w:r>
        <w:proofErr w:type="spellEnd"/>
      </w:hyperlink>
      <w:r w:rsidR="001A4F1B">
        <w:rPr>
          <w:rFonts w:cs="Arial"/>
          <w:color w:val="222222"/>
          <w:sz w:val="26"/>
          <w:szCs w:val="26"/>
          <w:shd w:val="clear" w:color="auto" w:fill="FFFFFF"/>
        </w:rPr>
        <w:t> (C) a </w:t>
      </w:r>
      <w:hyperlink r:id="rId20" w:tooltip="Vodík" w:history="1">
        <w:r w:rsidR="001A4F1B">
          <w:rPr>
            <w:rStyle w:val="Hypertextovodkaz"/>
            <w:rFonts w:cs="Arial"/>
            <w:i/>
            <w:iCs/>
            <w:color w:val="0B0080"/>
            <w:sz w:val="26"/>
            <w:szCs w:val="26"/>
            <w:shd w:val="clear" w:color="auto" w:fill="FFFFFF"/>
          </w:rPr>
          <w:t>vodíku</w:t>
        </w:r>
      </w:hyperlink>
      <w:r w:rsidR="001A4F1B">
        <w:rPr>
          <w:rFonts w:cs="Arial"/>
          <w:color w:val="222222"/>
          <w:sz w:val="26"/>
          <w:szCs w:val="26"/>
          <w:shd w:val="clear" w:color="auto" w:fill="FFFFFF"/>
        </w:rPr>
        <w:t> (H). Tyto látky mají hlavní uhlíkový řetězec (uhlíková kostra), na kterou jsou připojeny atomy vodíku.</w:t>
      </w:r>
    </w:p>
    <w:p w:rsidR="006803E3" w:rsidRDefault="006803E3" w:rsidP="00DC69D6">
      <w:pPr>
        <w:pStyle w:val="azkladntext"/>
      </w:pPr>
      <w:r>
        <w:rPr>
          <w:rFonts w:cs="Arial"/>
          <w:color w:val="222222"/>
          <w:sz w:val="26"/>
          <w:szCs w:val="26"/>
          <w:shd w:val="clear" w:color="auto" w:fill="FFFFFF"/>
        </w:rPr>
        <w:lastRenderedPageBreak/>
        <w:t xml:space="preserve">V následujícím přehledu jsou uvedeny základní uhlíkové řetězce. Nízký počet uhlíků v řetězci reprezentuje tzv. lehké uhlovodíky, které se velmi lehce odpařují produktů PHM, čím způsobují komodity vysoce hořlavou. V oblasti PHM z uvedeného </w:t>
      </w:r>
      <w:r w:rsidR="001F22CA">
        <w:rPr>
          <w:rFonts w:cs="Arial"/>
          <w:color w:val="222222"/>
          <w:sz w:val="26"/>
          <w:szCs w:val="26"/>
          <w:shd w:val="clear" w:color="auto" w:fill="FFFFFF"/>
        </w:rPr>
        <w:t xml:space="preserve">jsou zejména benzíny </w:t>
      </w:r>
      <w:r>
        <w:rPr>
          <w:rFonts w:cs="Arial"/>
          <w:color w:val="222222"/>
          <w:sz w:val="26"/>
          <w:szCs w:val="26"/>
          <w:shd w:val="clear" w:color="auto" w:fill="FFFFFF"/>
        </w:rPr>
        <w:t xml:space="preserve"> </w:t>
      </w:r>
      <w:r w:rsidR="001F22CA">
        <w:rPr>
          <w:rFonts w:cs="Arial"/>
          <w:color w:val="222222"/>
          <w:sz w:val="26"/>
          <w:szCs w:val="26"/>
          <w:shd w:val="clear" w:color="auto" w:fill="FFFFFF"/>
        </w:rPr>
        <w:t>považovány za velmi nebezpečné látky s nízkým bodem hoření. Naopak čím je uhlíkový řetězec delší, je látka považována za směs těžkých uhlovodíků. V PHM jde především o oleje.</w:t>
      </w:r>
    </w:p>
    <w:tbl>
      <w:tblPr>
        <w:tblStyle w:val="Mkatabulky"/>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990"/>
        <w:gridCol w:w="5665"/>
      </w:tblGrid>
      <w:tr w:rsidR="005B45CA" w:rsidTr="006803E3">
        <w:tc>
          <w:tcPr>
            <w:tcW w:w="582" w:type="dxa"/>
            <w:vAlign w:val="center"/>
          </w:tcPr>
          <w:p w:rsidR="005B45CA" w:rsidRDefault="005B45CA" w:rsidP="005B45CA">
            <w:pPr>
              <w:pStyle w:val="azkladntext"/>
              <w:ind w:firstLine="0"/>
              <w:jc w:val="center"/>
            </w:pPr>
            <w:r>
              <w:t>C1</w:t>
            </w:r>
          </w:p>
        </w:tc>
        <w:tc>
          <w:tcPr>
            <w:tcW w:w="990" w:type="dxa"/>
            <w:vAlign w:val="center"/>
          </w:tcPr>
          <w:p w:rsidR="005B45CA" w:rsidRDefault="005B45CA" w:rsidP="005B45CA">
            <w:pPr>
              <w:pStyle w:val="azkladntext"/>
              <w:ind w:firstLine="0"/>
              <w:jc w:val="center"/>
            </w:pPr>
            <w:r>
              <w:t>Metan</w:t>
            </w:r>
          </w:p>
        </w:tc>
        <w:tc>
          <w:tcPr>
            <w:tcW w:w="5665" w:type="dxa"/>
          </w:tcPr>
          <w:p w:rsidR="005B45CA" w:rsidRDefault="005B45CA" w:rsidP="00DC69D6">
            <w:pPr>
              <w:pStyle w:val="azkladntext"/>
              <w:ind w:firstLine="0"/>
            </w:pPr>
            <w:r>
              <w:object w:dxaOrig="756"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2.6pt" o:ole="">
                  <v:imagedata r:id="rId21" o:title=""/>
                </v:shape>
                <o:OLEObject Type="Embed" ProgID="PBrush" ShapeID="_x0000_i1025" DrawAspect="Content" ObjectID="_1584358311" r:id="rId22"/>
              </w:object>
            </w:r>
          </w:p>
        </w:tc>
      </w:tr>
      <w:tr w:rsidR="005B45CA" w:rsidTr="006803E3">
        <w:tc>
          <w:tcPr>
            <w:tcW w:w="582" w:type="dxa"/>
            <w:vAlign w:val="center"/>
          </w:tcPr>
          <w:p w:rsidR="005B45CA" w:rsidRDefault="005B45CA" w:rsidP="005B45CA">
            <w:pPr>
              <w:pStyle w:val="azkladntext"/>
              <w:ind w:firstLine="0"/>
              <w:jc w:val="center"/>
            </w:pPr>
            <w:r>
              <w:t>C2</w:t>
            </w:r>
          </w:p>
        </w:tc>
        <w:tc>
          <w:tcPr>
            <w:tcW w:w="990" w:type="dxa"/>
            <w:vAlign w:val="center"/>
          </w:tcPr>
          <w:p w:rsidR="005B45CA" w:rsidRDefault="005B45CA" w:rsidP="005B45CA">
            <w:pPr>
              <w:pStyle w:val="azkladntext"/>
              <w:ind w:firstLine="0"/>
              <w:jc w:val="center"/>
            </w:pPr>
            <w:r>
              <w:t>Etan</w:t>
            </w:r>
          </w:p>
        </w:tc>
        <w:tc>
          <w:tcPr>
            <w:tcW w:w="5665" w:type="dxa"/>
          </w:tcPr>
          <w:p w:rsidR="005B45CA" w:rsidRDefault="006803E3" w:rsidP="006803E3">
            <w:pPr>
              <w:pStyle w:val="azkladntext"/>
              <w:spacing w:before="0"/>
              <w:ind w:firstLine="0"/>
            </w:pPr>
            <w:r>
              <w:object w:dxaOrig="2088" w:dyaOrig="972">
                <v:shape id="_x0000_i1026" type="#_x0000_t75" style="width:51pt;height:22.8pt" o:ole="">
                  <v:imagedata r:id="rId23" o:title=""/>
                </v:shape>
                <o:OLEObject Type="Embed" ProgID="PBrush" ShapeID="_x0000_i1026" DrawAspect="Content" ObjectID="_1584358312" r:id="rId24"/>
              </w:object>
            </w:r>
          </w:p>
        </w:tc>
      </w:tr>
      <w:tr w:rsidR="005B45CA" w:rsidTr="006803E3">
        <w:tc>
          <w:tcPr>
            <w:tcW w:w="582" w:type="dxa"/>
            <w:vAlign w:val="center"/>
          </w:tcPr>
          <w:p w:rsidR="005B45CA" w:rsidRDefault="005B45CA" w:rsidP="005B45CA">
            <w:pPr>
              <w:pStyle w:val="azkladntext"/>
              <w:ind w:firstLine="0"/>
              <w:jc w:val="center"/>
            </w:pPr>
            <w:r>
              <w:t>C3</w:t>
            </w:r>
          </w:p>
        </w:tc>
        <w:tc>
          <w:tcPr>
            <w:tcW w:w="990" w:type="dxa"/>
            <w:vAlign w:val="center"/>
          </w:tcPr>
          <w:p w:rsidR="005B45CA" w:rsidRDefault="005B45CA" w:rsidP="005B45CA">
            <w:pPr>
              <w:pStyle w:val="azkladntext"/>
              <w:ind w:firstLine="0"/>
              <w:jc w:val="center"/>
            </w:pPr>
            <w:r>
              <w:t>Propan</w:t>
            </w:r>
          </w:p>
        </w:tc>
        <w:tc>
          <w:tcPr>
            <w:tcW w:w="5665" w:type="dxa"/>
          </w:tcPr>
          <w:p w:rsidR="005B45CA" w:rsidRDefault="006803E3" w:rsidP="006803E3">
            <w:pPr>
              <w:pStyle w:val="azkladntext"/>
              <w:spacing w:before="0"/>
              <w:ind w:firstLine="0"/>
            </w:pPr>
            <w:r>
              <w:object w:dxaOrig="2964" w:dyaOrig="1512">
                <v:shape id="_x0000_i1027" type="#_x0000_t75" style="width:82.8pt;height:40.8pt" o:ole="">
                  <v:imagedata r:id="rId25" o:title=""/>
                </v:shape>
                <o:OLEObject Type="Embed" ProgID="PBrush" ShapeID="_x0000_i1027" DrawAspect="Content" ObjectID="_1584358313" r:id="rId26"/>
              </w:object>
            </w:r>
          </w:p>
        </w:tc>
      </w:tr>
      <w:tr w:rsidR="005B45CA" w:rsidTr="006803E3">
        <w:tc>
          <w:tcPr>
            <w:tcW w:w="582" w:type="dxa"/>
            <w:vAlign w:val="center"/>
          </w:tcPr>
          <w:p w:rsidR="005B45CA" w:rsidRDefault="005B45CA" w:rsidP="005B45CA">
            <w:pPr>
              <w:pStyle w:val="azkladntext"/>
              <w:ind w:firstLine="0"/>
              <w:jc w:val="center"/>
            </w:pPr>
            <w:r>
              <w:t>C4</w:t>
            </w:r>
          </w:p>
        </w:tc>
        <w:tc>
          <w:tcPr>
            <w:tcW w:w="990" w:type="dxa"/>
            <w:vAlign w:val="center"/>
          </w:tcPr>
          <w:p w:rsidR="005B45CA" w:rsidRDefault="005B45CA" w:rsidP="005B45CA">
            <w:pPr>
              <w:pStyle w:val="azkladntext"/>
              <w:ind w:firstLine="0"/>
              <w:jc w:val="center"/>
            </w:pPr>
            <w:r>
              <w:t>Butan</w:t>
            </w:r>
          </w:p>
        </w:tc>
        <w:tc>
          <w:tcPr>
            <w:tcW w:w="5665" w:type="dxa"/>
          </w:tcPr>
          <w:p w:rsidR="005B45CA" w:rsidRDefault="006803E3" w:rsidP="006803E3">
            <w:pPr>
              <w:pStyle w:val="azkladntext"/>
              <w:spacing w:before="40"/>
              <w:ind w:firstLine="0"/>
            </w:pPr>
            <w:r>
              <w:object w:dxaOrig="3660" w:dyaOrig="1728">
                <v:shape id="_x0000_i1028" type="#_x0000_t75" style="width:96.6pt;height:44.4pt" o:ole="">
                  <v:imagedata r:id="rId27" o:title=""/>
                </v:shape>
                <o:OLEObject Type="Embed" ProgID="PBrush" ShapeID="_x0000_i1028" DrawAspect="Content" ObjectID="_1584358314" r:id="rId28"/>
              </w:object>
            </w:r>
          </w:p>
        </w:tc>
      </w:tr>
      <w:tr w:rsidR="005B45CA" w:rsidTr="006803E3">
        <w:tc>
          <w:tcPr>
            <w:tcW w:w="582" w:type="dxa"/>
            <w:vAlign w:val="center"/>
          </w:tcPr>
          <w:p w:rsidR="005B45CA" w:rsidRDefault="005B45CA" w:rsidP="005B45CA">
            <w:pPr>
              <w:pStyle w:val="azkladntext"/>
              <w:ind w:firstLine="0"/>
              <w:jc w:val="center"/>
            </w:pPr>
            <w:r>
              <w:t>C5</w:t>
            </w:r>
          </w:p>
        </w:tc>
        <w:tc>
          <w:tcPr>
            <w:tcW w:w="990" w:type="dxa"/>
            <w:vAlign w:val="center"/>
          </w:tcPr>
          <w:p w:rsidR="005B45CA" w:rsidRDefault="005B45CA" w:rsidP="005B45CA">
            <w:pPr>
              <w:pStyle w:val="azkladntext"/>
              <w:ind w:firstLine="0"/>
              <w:jc w:val="center"/>
            </w:pPr>
            <w:r>
              <w:t>Pentan</w:t>
            </w:r>
          </w:p>
        </w:tc>
        <w:tc>
          <w:tcPr>
            <w:tcW w:w="5665" w:type="dxa"/>
          </w:tcPr>
          <w:p w:rsidR="005B45CA" w:rsidRDefault="006803E3" w:rsidP="006803E3">
            <w:pPr>
              <w:pStyle w:val="azkladntext"/>
              <w:spacing w:before="0"/>
              <w:ind w:firstLine="0"/>
            </w:pPr>
            <w:r>
              <w:object w:dxaOrig="4428" w:dyaOrig="1716">
                <v:shape id="_x0000_i1029" type="#_x0000_t75" style="width:113.4pt;height:46.8pt" o:ole="">
                  <v:imagedata r:id="rId29" o:title=""/>
                </v:shape>
                <o:OLEObject Type="Embed" ProgID="PBrush" ShapeID="_x0000_i1029" DrawAspect="Content" ObjectID="_1584358315" r:id="rId30"/>
              </w:object>
            </w:r>
          </w:p>
        </w:tc>
      </w:tr>
      <w:tr w:rsidR="005B45CA" w:rsidTr="006803E3">
        <w:tc>
          <w:tcPr>
            <w:tcW w:w="582" w:type="dxa"/>
            <w:vAlign w:val="center"/>
          </w:tcPr>
          <w:p w:rsidR="005B45CA" w:rsidRDefault="005B45CA" w:rsidP="005B45CA">
            <w:pPr>
              <w:pStyle w:val="azkladntext"/>
              <w:ind w:firstLine="0"/>
              <w:jc w:val="center"/>
            </w:pPr>
            <w:r>
              <w:t>C6</w:t>
            </w:r>
          </w:p>
        </w:tc>
        <w:tc>
          <w:tcPr>
            <w:tcW w:w="990" w:type="dxa"/>
            <w:vAlign w:val="center"/>
          </w:tcPr>
          <w:p w:rsidR="005B45CA" w:rsidRDefault="005B45CA" w:rsidP="005B45CA">
            <w:pPr>
              <w:pStyle w:val="azkladntext"/>
              <w:ind w:firstLine="0"/>
              <w:jc w:val="center"/>
            </w:pPr>
            <w:r>
              <w:t>Hexan</w:t>
            </w:r>
          </w:p>
        </w:tc>
        <w:tc>
          <w:tcPr>
            <w:tcW w:w="5665" w:type="dxa"/>
          </w:tcPr>
          <w:p w:rsidR="005B45CA" w:rsidRDefault="006803E3" w:rsidP="006803E3">
            <w:pPr>
              <w:pStyle w:val="azkladntext"/>
              <w:spacing w:before="0"/>
              <w:ind w:firstLine="0"/>
            </w:pPr>
            <w:r>
              <w:object w:dxaOrig="5256" w:dyaOrig="1800">
                <v:shape id="_x0000_i1030" type="#_x0000_t75" style="width:139.2pt;height:48pt" o:ole="">
                  <v:imagedata r:id="rId31" o:title=""/>
                </v:shape>
                <o:OLEObject Type="Embed" ProgID="PBrush" ShapeID="_x0000_i1030" DrawAspect="Content" ObjectID="_1584358316" r:id="rId32"/>
              </w:object>
            </w:r>
          </w:p>
        </w:tc>
      </w:tr>
      <w:tr w:rsidR="005B45CA" w:rsidTr="006803E3">
        <w:tc>
          <w:tcPr>
            <w:tcW w:w="582" w:type="dxa"/>
            <w:vAlign w:val="center"/>
          </w:tcPr>
          <w:p w:rsidR="005B45CA" w:rsidRDefault="005B45CA" w:rsidP="005B45CA">
            <w:pPr>
              <w:pStyle w:val="azkladntext"/>
              <w:ind w:firstLine="0"/>
              <w:jc w:val="center"/>
            </w:pPr>
            <w:r>
              <w:t>C7</w:t>
            </w:r>
          </w:p>
        </w:tc>
        <w:tc>
          <w:tcPr>
            <w:tcW w:w="990" w:type="dxa"/>
            <w:vAlign w:val="center"/>
          </w:tcPr>
          <w:p w:rsidR="005B45CA" w:rsidRDefault="005B45CA" w:rsidP="005B45CA">
            <w:pPr>
              <w:pStyle w:val="azkladntext"/>
              <w:ind w:firstLine="0"/>
              <w:jc w:val="center"/>
            </w:pPr>
            <w:r>
              <w:t>Heptan</w:t>
            </w:r>
          </w:p>
        </w:tc>
        <w:tc>
          <w:tcPr>
            <w:tcW w:w="5665" w:type="dxa"/>
          </w:tcPr>
          <w:p w:rsidR="005B45CA" w:rsidRDefault="006803E3" w:rsidP="006803E3">
            <w:pPr>
              <w:pStyle w:val="azkladntext"/>
              <w:spacing w:before="0"/>
              <w:ind w:firstLine="0"/>
            </w:pPr>
            <w:r>
              <w:object w:dxaOrig="6036" w:dyaOrig="1740">
                <v:shape id="_x0000_i1031" type="#_x0000_t75" style="width:166.8pt;height:46.2pt" o:ole="">
                  <v:imagedata r:id="rId33" o:title=""/>
                </v:shape>
                <o:OLEObject Type="Embed" ProgID="PBrush" ShapeID="_x0000_i1031" DrawAspect="Content" ObjectID="_1584358317" r:id="rId34"/>
              </w:object>
            </w:r>
          </w:p>
        </w:tc>
      </w:tr>
      <w:tr w:rsidR="005B45CA" w:rsidTr="006803E3">
        <w:tc>
          <w:tcPr>
            <w:tcW w:w="582" w:type="dxa"/>
            <w:vAlign w:val="center"/>
          </w:tcPr>
          <w:p w:rsidR="005B45CA" w:rsidRDefault="005B45CA" w:rsidP="005B45CA">
            <w:pPr>
              <w:pStyle w:val="azkladntext"/>
              <w:ind w:firstLine="0"/>
              <w:jc w:val="center"/>
            </w:pPr>
            <w:r>
              <w:t>C8</w:t>
            </w:r>
          </w:p>
        </w:tc>
        <w:tc>
          <w:tcPr>
            <w:tcW w:w="990" w:type="dxa"/>
            <w:vAlign w:val="center"/>
          </w:tcPr>
          <w:p w:rsidR="005B45CA" w:rsidRDefault="005B45CA" w:rsidP="005B45CA">
            <w:pPr>
              <w:pStyle w:val="azkladntext"/>
              <w:ind w:firstLine="0"/>
              <w:jc w:val="center"/>
            </w:pPr>
            <w:r>
              <w:t>Oktan</w:t>
            </w:r>
          </w:p>
        </w:tc>
        <w:tc>
          <w:tcPr>
            <w:tcW w:w="5665" w:type="dxa"/>
          </w:tcPr>
          <w:p w:rsidR="005B45CA" w:rsidRDefault="006803E3" w:rsidP="006803E3">
            <w:pPr>
              <w:pStyle w:val="azkladntext"/>
              <w:spacing w:before="0"/>
              <w:ind w:firstLine="0"/>
            </w:pPr>
            <w:r>
              <w:object w:dxaOrig="6780" w:dyaOrig="1764">
                <v:shape id="_x0000_i1032" type="#_x0000_t75" style="width:189.6pt;height:49.2pt" o:ole="">
                  <v:imagedata r:id="rId35" o:title=""/>
                </v:shape>
                <o:OLEObject Type="Embed" ProgID="PBrush" ShapeID="_x0000_i1032" DrawAspect="Content" ObjectID="_1584358318" r:id="rId36"/>
              </w:object>
            </w:r>
          </w:p>
        </w:tc>
      </w:tr>
    </w:tbl>
    <w:p w:rsidR="005B45CA" w:rsidRDefault="001F22CA" w:rsidP="00DC69D6">
      <w:pPr>
        <w:pStyle w:val="azkladntext"/>
      </w:pPr>
      <w:r>
        <w:t>Při výrobě ropných produktů je velmi často aplikováno tzv. krakování, kdy dochází technologicky ke zkracování uhlovodíkových řetězců.</w:t>
      </w:r>
    </w:p>
    <w:p w:rsidR="00DC69D6" w:rsidRDefault="00DC69D6" w:rsidP="00DC69D6">
      <w:pPr>
        <w:pStyle w:val="azkladntext"/>
      </w:pPr>
      <w:r>
        <w:t>Uhlovodíková část ropných frakcí je tvořena alkany (</w:t>
      </w:r>
      <w:proofErr w:type="spellStart"/>
      <w:r>
        <w:t>paravíny</w:t>
      </w:r>
      <w:proofErr w:type="spellEnd"/>
      <w:r>
        <w:t xml:space="preserve">), </w:t>
      </w:r>
      <w:proofErr w:type="spellStart"/>
      <w:r>
        <w:t>izoalkany</w:t>
      </w:r>
      <w:proofErr w:type="spellEnd"/>
      <w:r>
        <w:t xml:space="preserve"> (</w:t>
      </w:r>
      <w:proofErr w:type="spellStart"/>
      <w:r>
        <w:t>izoparafíny</w:t>
      </w:r>
      <w:proofErr w:type="spellEnd"/>
      <w:r>
        <w:t xml:space="preserve">), cykloalkany (nafteny, </w:t>
      </w:r>
      <w:proofErr w:type="spellStart"/>
      <w:r>
        <w:t>cyklany</w:t>
      </w:r>
      <w:proofErr w:type="spellEnd"/>
      <w:r>
        <w:t>) a aromáty. Dále jsou přítomny i různé sloučeniny obsahující heteroatomy ( S, N, O).</w:t>
      </w:r>
      <w:r w:rsidRPr="00735F4A">
        <w:t xml:space="preserve"> </w:t>
      </w:r>
      <w:r w:rsidR="001F22CA">
        <w:t>Ropa tedy o</w:t>
      </w:r>
      <w:r>
        <w:t>bsahuje 80 až 85 % uhlíku, 10 až 15 % vodíku, 4 až 7 % síry a  do 1%  dusíku a kyslíku.</w:t>
      </w:r>
      <w:r w:rsidRPr="00735F4A">
        <w:t xml:space="preserve"> </w:t>
      </w:r>
      <w:r>
        <w:t>Z plynů jsou v ropě především obsaženy metan, etan, propan, butan a oxid uhličitý.</w:t>
      </w:r>
    </w:p>
    <w:p w:rsidR="00DC69D6" w:rsidRDefault="00DC69D6" w:rsidP="00DC69D6">
      <w:pPr>
        <w:pStyle w:val="azkladntext"/>
      </w:pPr>
      <w:r>
        <w:lastRenderedPageBreak/>
        <w:t xml:space="preserve">Z hlediska vzhledu je možné ropu hodnotit jako tekutou světle žlutou až temnočerná olejovitou kapalinu. </w:t>
      </w:r>
    </w:p>
    <w:p w:rsidR="00DC69D6" w:rsidRDefault="0039076E" w:rsidP="00DC69D6">
      <w:pPr>
        <w:pStyle w:val="azkladntext"/>
        <w:jc w:val="center"/>
      </w:pPr>
      <w:r w:rsidRPr="008E547D">
        <w:rPr>
          <w:noProof/>
          <w:color w:val="000000"/>
        </w:rPr>
        <w:drawing>
          <wp:inline distT="0" distB="0" distL="0" distR="0">
            <wp:extent cx="1549400" cy="2070100"/>
            <wp:effectExtent l="0" t="0" r="0" b="0"/>
            <wp:docPr id="8" name="obrázek 8" descr="ropa%2001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a%2001_resiz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9400" cy="2070100"/>
                    </a:xfrm>
                    <a:prstGeom prst="rect">
                      <a:avLst/>
                    </a:prstGeom>
                    <a:noFill/>
                    <a:ln>
                      <a:noFill/>
                    </a:ln>
                  </pic:spPr>
                </pic:pic>
              </a:graphicData>
            </a:graphic>
          </wp:inline>
        </w:drawing>
      </w:r>
      <w:r w:rsidRPr="008E547D">
        <w:rPr>
          <w:noProof/>
          <w:color w:val="000000"/>
        </w:rPr>
        <w:drawing>
          <wp:inline distT="0" distB="0" distL="0" distR="0">
            <wp:extent cx="1555750" cy="2070100"/>
            <wp:effectExtent l="0" t="0" r="0" b="0"/>
            <wp:docPr id="9" name="obrázek 9" descr="ropa%2002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a%2002_resiz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750" cy="2070100"/>
                    </a:xfrm>
                    <a:prstGeom prst="rect">
                      <a:avLst/>
                    </a:prstGeom>
                    <a:noFill/>
                    <a:ln>
                      <a:noFill/>
                    </a:ln>
                  </pic:spPr>
                </pic:pic>
              </a:graphicData>
            </a:graphic>
          </wp:inline>
        </w:drawing>
      </w:r>
    </w:p>
    <w:p w:rsidR="00DC69D6" w:rsidRDefault="00DC69D6" w:rsidP="00DC69D6">
      <w:pPr>
        <w:pStyle w:val="azkladntext"/>
      </w:pPr>
      <w:r>
        <w:t>Hustota ropy se podle druhu pohybuje v rozmezí 0,730 až 1,0 g/cm</w:t>
      </w:r>
      <w:r w:rsidRPr="00306F68">
        <w:rPr>
          <w:vertAlign w:val="superscript"/>
        </w:rPr>
        <w:t>3</w:t>
      </w:r>
      <w:r>
        <w:t xml:space="preserve">. Ložiska ropy se vyskytují v hloubkách až několik stovek metrů, většinou mezi dvěma nepropustnými vrstvami okolních hornin a velmi často spolu se zemním plynem. </w:t>
      </w:r>
    </w:p>
    <w:p w:rsidR="00DC69D6" w:rsidRDefault="00DC69D6" w:rsidP="001057A7">
      <w:pPr>
        <w:pStyle w:val="Nadpis2"/>
      </w:pPr>
      <w:bookmarkStart w:id="2" w:name="_Druhy_ropy"/>
      <w:bookmarkEnd w:id="2"/>
      <w:r>
        <w:t>Druhy ropy</w:t>
      </w:r>
    </w:p>
    <w:p w:rsidR="00DC69D6" w:rsidRDefault="00DC69D6" w:rsidP="00DC69D6">
      <w:pPr>
        <w:pStyle w:val="M-2"/>
      </w:pPr>
      <w:r>
        <w:t>V ropném průmyslu je zpravidla ropa rozdělována podle jejího původu.</w:t>
      </w:r>
    </w:p>
    <w:p w:rsidR="004D2442" w:rsidRDefault="00DC69D6" w:rsidP="004D2442">
      <w:pPr>
        <w:pStyle w:val="odrka2"/>
      </w:pPr>
      <w:r w:rsidRPr="001004D9">
        <w:rPr>
          <w:b/>
        </w:rPr>
        <w:t>Brent</w:t>
      </w:r>
      <w:r w:rsidR="00547447">
        <w:t xml:space="preserve"> – 15 druhů ropy z nalezišť</w:t>
      </w:r>
      <w:r>
        <w:t xml:space="preserve"> v Severním moři</w:t>
      </w:r>
      <w:r w:rsidR="004D2442">
        <w:t>,</w:t>
      </w:r>
      <w:r w:rsidR="004D2442" w:rsidRPr="004D2442">
        <w:t xml:space="preserve"> </w:t>
      </w:r>
      <w:r w:rsidR="004D2442">
        <w:t xml:space="preserve">skládá se zejména z Brent </w:t>
      </w:r>
      <w:proofErr w:type="spellStart"/>
      <w:r w:rsidR="004D2442">
        <w:t>Crude</w:t>
      </w:r>
      <w:proofErr w:type="spellEnd"/>
      <w:r w:rsidR="004D2442">
        <w:t xml:space="preserve">, Brent </w:t>
      </w:r>
      <w:proofErr w:type="spellStart"/>
      <w:r w:rsidR="004D2442">
        <w:t>Sweet</w:t>
      </w:r>
      <w:proofErr w:type="spellEnd"/>
      <w:r w:rsidR="004D2442">
        <w:t xml:space="preserve"> </w:t>
      </w:r>
      <w:proofErr w:type="spellStart"/>
      <w:r w:rsidR="004D2442">
        <w:t>Light</w:t>
      </w:r>
      <w:proofErr w:type="spellEnd"/>
      <w:r w:rsidR="004D2442">
        <w:t xml:space="preserve"> </w:t>
      </w:r>
      <w:proofErr w:type="spellStart"/>
      <w:r w:rsidR="004D2442">
        <w:t>Oil</w:t>
      </w:r>
      <w:proofErr w:type="spellEnd"/>
      <w:r w:rsidR="004D2442">
        <w:t xml:space="preserve">, </w:t>
      </w:r>
      <w:proofErr w:type="spellStart"/>
      <w:r w:rsidR="004D2442">
        <w:t>Oseberg</w:t>
      </w:r>
      <w:proofErr w:type="spellEnd"/>
      <w:r w:rsidR="004D2442">
        <w:t xml:space="preserve"> a </w:t>
      </w:r>
      <w:proofErr w:type="spellStart"/>
      <w:r w:rsidR="004D2442">
        <w:t>Forties</w:t>
      </w:r>
      <w:proofErr w:type="spellEnd"/>
      <w:r w:rsidR="004D2442">
        <w:t>. Cena ropy brent se používá při ocenění dvou třetin světových dodávek ropy - zejména jde o dodávky ropy spotřebovávané v Západní Evropě a pocházející z Evropy, Afriky a Středního východu.</w:t>
      </w:r>
      <w:r w:rsidR="004D2442" w:rsidRPr="004D2442">
        <w:t xml:space="preserve"> </w:t>
      </w:r>
      <w:r w:rsidR="004D2442">
        <w:t xml:space="preserve">Ropa brent své jméno získala podle husy bernešky tmavé (anglicky "Brent </w:t>
      </w:r>
      <w:proofErr w:type="spellStart"/>
      <w:r w:rsidR="004D2442">
        <w:t>Goose</w:t>
      </w:r>
      <w:proofErr w:type="spellEnd"/>
      <w:r w:rsidR="004D2442">
        <w:t>"), podle které byla pojmenovaná ropná pole v Severním moři společnostmi Exxon a Shell.</w:t>
      </w:r>
      <w:r w:rsidR="004D2442" w:rsidRPr="004D2442">
        <w:t xml:space="preserve"> </w:t>
      </w:r>
      <w:r w:rsidR="004D2442">
        <w:t>Ropa brent je lehká ropa, i když není tak lehká, jak WTI. Obsahuje přibližně 0,37% síry. Ropa brent je ideální pro výrobu benzínu a středních destilátů. Běžně se zpracovává v rafinériích v severozápadní Evropě, ale když jsou tržní ceny příznivé pro export, může se zpracovávat i v rafinériích v USA či v zemích okolo Středozemního moře.</w:t>
      </w:r>
    </w:p>
    <w:p w:rsidR="004D2442" w:rsidRDefault="00DC69D6" w:rsidP="004D2442">
      <w:pPr>
        <w:pStyle w:val="odrka2"/>
      </w:pPr>
      <w:r w:rsidRPr="001004D9">
        <w:rPr>
          <w:b/>
        </w:rPr>
        <w:t>WTI</w:t>
      </w:r>
      <w:r>
        <w:t xml:space="preserve"> (</w:t>
      </w:r>
      <w:proofErr w:type="spellStart"/>
      <w:r>
        <w:t>West</w:t>
      </w:r>
      <w:proofErr w:type="spellEnd"/>
      <w:r>
        <w:t xml:space="preserve"> Texas </w:t>
      </w:r>
      <w:proofErr w:type="spellStart"/>
      <w:r>
        <w:t>Intermediate</w:t>
      </w:r>
      <w:proofErr w:type="spellEnd"/>
      <w:r>
        <w:t>)</w:t>
      </w:r>
      <w:r w:rsidR="004D2442">
        <w:t xml:space="preserve"> též nazývaná Texas </w:t>
      </w:r>
      <w:proofErr w:type="spellStart"/>
      <w:r w:rsidR="004D2442">
        <w:t>Light</w:t>
      </w:r>
      <w:proofErr w:type="spellEnd"/>
      <w:r w:rsidR="004D2442">
        <w:t xml:space="preserve"> </w:t>
      </w:r>
      <w:proofErr w:type="spellStart"/>
      <w:r w:rsidR="004D2442">
        <w:t>Sweet</w:t>
      </w:r>
      <w:proofErr w:type="spellEnd"/>
      <w:r w:rsidR="004D2442">
        <w:t xml:space="preserve">, je typ ropy používaný pro oceňování cen ropy a derivátů z ní odvozených na Newyorské burze (New York </w:t>
      </w:r>
      <w:proofErr w:type="spellStart"/>
      <w:r w:rsidR="004D2442">
        <w:t>Mercantile</w:t>
      </w:r>
      <w:proofErr w:type="spellEnd"/>
      <w:r w:rsidR="004D2442">
        <w:t xml:space="preserve"> Exchange - NYMEX),</w:t>
      </w:r>
    </w:p>
    <w:p w:rsidR="00DC69D6" w:rsidRDefault="00DC69D6" w:rsidP="0014093B">
      <w:pPr>
        <w:pStyle w:val="odrka2"/>
      </w:pPr>
      <w:proofErr w:type="spellStart"/>
      <w:r w:rsidRPr="001004D9">
        <w:rPr>
          <w:b/>
          <w:bCs/>
        </w:rPr>
        <w:t>Dubai</w:t>
      </w:r>
      <w:proofErr w:type="spellEnd"/>
      <w:r>
        <w:t>, za jejíž cenu se prodává blízkovýchodní ropa určená</w:t>
      </w:r>
      <w:r w:rsidR="002E307E">
        <w:t xml:space="preserve"> pro asijsko-pacifickou oblast,</w:t>
      </w:r>
    </w:p>
    <w:p w:rsidR="00DC69D6" w:rsidRDefault="00DC69D6" w:rsidP="0014093B">
      <w:pPr>
        <w:pStyle w:val="odrka2"/>
      </w:pPr>
      <w:proofErr w:type="spellStart"/>
      <w:r w:rsidRPr="001004D9">
        <w:rPr>
          <w:b/>
        </w:rPr>
        <w:t>Tapis</w:t>
      </w:r>
      <w:proofErr w:type="spellEnd"/>
      <w:r>
        <w:t xml:space="preserve"> </w:t>
      </w:r>
      <w:r w:rsidRPr="001004D9">
        <w:t xml:space="preserve">(z </w:t>
      </w:r>
      <w:hyperlink r:id="rId39" w:tooltip="Malajsie" w:history="1">
        <w:r w:rsidRPr="001004D9">
          <w:rPr>
            <w:rStyle w:val="Hypertextovodkaz"/>
            <w:color w:val="auto"/>
            <w:u w:val="none"/>
          </w:rPr>
          <w:t>Malajsie</w:t>
        </w:r>
      </w:hyperlink>
      <w:r w:rsidRPr="001004D9">
        <w:t xml:space="preserve">), za jejíž cenu se prodává lehká ropa z </w:t>
      </w:r>
      <w:hyperlink r:id="rId40" w:tooltip="Dálný východ" w:history="1">
        <w:r w:rsidRPr="001004D9">
          <w:rPr>
            <w:rStyle w:val="Hypertextovodkaz"/>
            <w:color w:val="auto"/>
            <w:u w:val="none"/>
          </w:rPr>
          <w:t>Dálného východu</w:t>
        </w:r>
      </w:hyperlink>
      <w:r w:rsidR="002E307E">
        <w:rPr>
          <w:rStyle w:val="Hypertextovodkaz"/>
          <w:color w:val="auto"/>
          <w:u w:val="none"/>
        </w:rPr>
        <w:t>,</w:t>
      </w:r>
    </w:p>
    <w:p w:rsidR="00DC69D6" w:rsidRPr="001004D9" w:rsidRDefault="00DC69D6" w:rsidP="0014093B">
      <w:pPr>
        <w:pStyle w:val="odrka2"/>
      </w:pPr>
      <w:r w:rsidRPr="001004D9">
        <w:rPr>
          <w:b/>
        </w:rPr>
        <w:lastRenderedPageBreak/>
        <w:t xml:space="preserve">Arab </w:t>
      </w:r>
      <w:proofErr w:type="spellStart"/>
      <w:r w:rsidRPr="001004D9">
        <w:rPr>
          <w:b/>
        </w:rPr>
        <w:t>Light</w:t>
      </w:r>
      <w:proofErr w:type="spellEnd"/>
      <w:r w:rsidRPr="001004D9">
        <w:rPr>
          <w:b/>
        </w:rPr>
        <w:t xml:space="preserve"> </w:t>
      </w:r>
      <w:r w:rsidRPr="001004D9">
        <w:t>(</w:t>
      </w:r>
      <w:hyperlink r:id="rId41" w:tooltip="Saúdská Arábie" w:history="1">
        <w:r w:rsidRPr="001004D9">
          <w:rPr>
            <w:rStyle w:val="Hypertextovodkaz"/>
            <w:color w:val="auto"/>
            <w:u w:val="none"/>
          </w:rPr>
          <w:t>Saudská Arábie</w:t>
        </w:r>
      </w:hyperlink>
      <w:r w:rsidRPr="001004D9">
        <w:t xml:space="preserve">), </w:t>
      </w:r>
    </w:p>
    <w:p w:rsidR="00DC69D6" w:rsidRPr="001004D9" w:rsidRDefault="00DC69D6" w:rsidP="0014093B">
      <w:pPr>
        <w:pStyle w:val="odrka2"/>
      </w:pPr>
      <w:proofErr w:type="spellStart"/>
      <w:r w:rsidRPr="001004D9">
        <w:rPr>
          <w:b/>
        </w:rPr>
        <w:t>Fateh</w:t>
      </w:r>
      <w:proofErr w:type="spellEnd"/>
      <w:r w:rsidRPr="001004D9">
        <w:t xml:space="preserve"> (</w:t>
      </w:r>
      <w:hyperlink r:id="rId42" w:tooltip="Spojené arabské emiráty" w:history="1">
        <w:r w:rsidRPr="001004D9">
          <w:rPr>
            <w:rStyle w:val="Hypertextovodkaz"/>
            <w:color w:val="auto"/>
            <w:u w:val="none"/>
          </w:rPr>
          <w:t>Spojené arabské emiráty</w:t>
        </w:r>
      </w:hyperlink>
      <w:r w:rsidRPr="001004D9">
        <w:t xml:space="preserve">), </w:t>
      </w:r>
    </w:p>
    <w:p w:rsidR="00DC69D6" w:rsidRPr="001004D9" w:rsidRDefault="00DC69D6" w:rsidP="0014093B">
      <w:pPr>
        <w:pStyle w:val="odrka2"/>
      </w:pPr>
      <w:proofErr w:type="spellStart"/>
      <w:r w:rsidRPr="001004D9">
        <w:rPr>
          <w:b/>
        </w:rPr>
        <w:t>Isthmus</w:t>
      </w:r>
      <w:proofErr w:type="spellEnd"/>
      <w:r w:rsidRPr="001004D9">
        <w:t xml:space="preserve"> (</w:t>
      </w:r>
      <w:hyperlink r:id="rId43" w:tooltip="Mexiko" w:history="1">
        <w:r w:rsidRPr="001004D9">
          <w:rPr>
            <w:rStyle w:val="Hypertextovodkaz"/>
            <w:color w:val="auto"/>
            <w:u w:val="none"/>
          </w:rPr>
          <w:t>Mexiko</w:t>
        </w:r>
      </w:hyperlink>
      <w:r w:rsidRPr="001004D9">
        <w:t xml:space="preserve">, nepatří do </w:t>
      </w:r>
      <w:hyperlink r:id="rId44" w:tooltip="OPEC" w:history="1">
        <w:r w:rsidRPr="001004D9">
          <w:rPr>
            <w:rStyle w:val="Hypertextovodkaz"/>
            <w:color w:val="auto"/>
            <w:u w:val="none"/>
          </w:rPr>
          <w:t>OPEC</w:t>
        </w:r>
      </w:hyperlink>
      <w:r w:rsidRPr="001004D9">
        <w:t xml:space="preserve">), </w:t>
      </w:r>
    </w:p>
    <w:p w:rsidR="0014093B" w:rsidRDefault="0014093B" w:rsidP="0014093B">
      <w:pPr>
        <w:pStyle w:val="odrka2"/>
        <w:numPr>
          <w:ilvl w:val="0"/>
          <w:numId w:val="0"/>
        </w:numPr>
        <w:ind w:left="357"/>
      </w:pPr>
    </w:p>
    <w:p w:rsidR="00DC69D6" w:rsidRDefault="00DC69D6" w:rsidP="00DC69D6">
      <w:pPr>
        <w:pStyle w:val="M-2"/>
      </w:pPr>
      <w:r>
        <w:t>Často bývá rozdělována také podle její hustoty</w:t>
      </w:r>
    </w:p>
    <w:p w:rsidR="00DC69D6" w:rsidRPr="00906094" w:rsidRDefault="00DC69D6" w:rsidP="0014093B">
      <w:pPr>
        <w:pStyle w:val="odrka2"/>
      </w:pPr>
      <w:r>
        <w:t>Lehká (</w:t>
      </w:r>
      <w:proofErr w:type="spellStart"/>
      <w:r>
        <w:t>light</w:t>
      </w:r>
      <w:proofErr w:type="spellEnd"/>
      <w:r>
        <w:t>)</w:t>
      </w:r>
      <w:r w:rsidR="002E307E">
        <w:t>,</w:t>
      </w:r>
    </w:p>
    <w:p w:rsidR="00DC69D6" w:rsidRPr="00906094" w:rsidRDefault="00DC69D6" w:rsidP="0014093B">
      <w:pPr>
        <w:pStyle w:val="odrka2"/>
      </w:pPr>
      <w:r>
        <w:t>Středně těžká (</w:t>
      </w:r>
      <w:proofErr w:type="spellStart"/>
      <w:r>
        <w:t>intermediate</w:t>
      </w:r>
      <w:proofErr w:type="spellEnd"/>
      <w:r>
        <w:t>)</w:t>
      </w:r>
      <w:r w:rsidR="002E307E">
        <w:t>,</w:t>
      </w:r>
    </w:p>
    <w:p w:rsidR="00DC69D6" w:rsidRDefault="00DC69D6" w:rsidP="0014093B">
      <w:pPr>
        <w:pStyle w:val="odrka2"/>
      </w:pPr>
      <w:r>
        <w:t>Těžká (</w:t>
      </w:r>
      <w:proofErr w:type="spellStart"/>
      <w:r>
        <w:t>heavy</w:t>
      </w:r>
      <w:proofErr w:type="spellEnd"/>
      <w:r>
        <w:t>)</w:t>
      </w:r>
      <w:r w:rsidR="002E307E">
        <w:t>,</w:t>
      </w:r>
    </w:p>
    <w:p w:rsidR="003F0A65" w:rsidRDefault="003F0A65" w:rsidP="003F0A65">
      <w:pPr>
        <w:pStyle w:val="odrka2"/>
        <w:numPr>
          <w:ilvl w:val="0"/>
          <w:numId w:val="0"/>
        </w:numPr>
        <w:ind w:left="714"/>
      </w:pPr>
    </w:p>
    <w:p w:rsidR="003F0A65" w:rsidRDefault="003F0A65" w:rsidP="003F0A65">
      <w:pPr>
        <w:pStyle w:val="M-2"/>
      </w:pPr>
      <w:r>
        <w:t>Podle obsahu síry</w:t>
      </w:r>
    </w:p>
    <w:p w:rsidR="003F0A65" w:rsidRDefault="003F0A65" w:rsidP="003F0A65">
      <w:pPr>
        <w:pStyle w:val="odrka2"/>
      </w:pPr>
      <w:r>
        <w:t>Sladká</w:t>
      </w:r>
      <w:r w:rsidR="002E307E">
        <w:t>,</w:t>
      </w:r>
    </w:p>
    <w:p w:rsidR="003F0A65" w:rsidRPr="00906094" w:rsidRDefault="002E307E" w:rsidP="003F0A65">
      <w:pPr>
        <w:pStyle w:val="odrka2"/>
      </w:pPr>
      <w:r>
        <w:t>K</w:t>
      </w:r>
      <w:r w:rsidR="003F0A65">
        <w:t>yselá)</w:t>
      </w:r>
    </w:p>
    <w:p w:rsidR="003F0A65" w:rsidRPr="00906094" w:rsidRDefault="003F0A65" w:rsidP="003F0A65">
      <w:pPr>
        <w:pStyle w:val="odrka2"/>
        <w:numPr>
          <w:ilvl w:val="0"/>
          <w:numId w:val="0"/>
        </w:numPr>
        <w:ind w:left="714"/>
      </w:pPr>
    </w:p>
    <w:p w:rsidR="00DC69D6" w:rsidRDefault="00DC69D6" w:rsidP="00207347">
      <w:pPr>
        <w:pStyle w:val="Nadpis1"/>
      </w:pPr>
      <w:bookmarkStart w:id="3" w:name="_Těžba_ropy"/>
      <w:bookmarkEnd w:id="3"/>
      <w:r>
        <w:t>Těžba ropy</w:t>
      </w:r>
    </w:p>
    <w:p w:rsidR="00DC69D6" w:rsidRDefault="00DC69D6" w:rsidP="00DC69D6">
      <w:pPr>
        <w:pStyle w:val="azkladntext"/>
      </w:pPr>
      <w:r>
        <w:t xml:space="preserve">Ropa se nachází pod povrchem Země v hloubce několika metrů až několika kilometrů. Nejhlubší vrty dosahují kolem </w:t>
      </w:r>
      <w:smartTag w:uri="urn:schemas-microsoft-com:office:smarttags" w:element="metricconverter">
        <w:smartTagPr>
          <w:attr w:name="ProductID" w:val="10 000 metrů"/>
        </w:smartTagPr>
        <w:r>
          <w:t>10 000 metrů</w:t>
        </w:r>
      </w:smartTag>
      <w:r>
        <w:t>.</w:t>
      </w:r>
    </w:p>
    <w:p w:rsidR="00DC69D6" w:rsidRPr="0037613D" w:rsidRDefault="00DC69D6" w:rsidP="00DC69D6">
      <w:pPr>
        <w:pStyle w:val="azkladntext"/>
        <w:rPr>
          <w:i/>
          <w:color w:val="0000FF"/>
          <w:sz w:val="20"/>
        </w:rPr>
      </w:pPr>
      <w:r>
        <w:t xml:space="preserve">Při dobývání ropy rovněž záleží na tom, kam až postoupí její těžba. Ta probíhá v každém ropném poli podle stejného scénáře. Nejprve je vytěžena ropa, která je nejsnáze dostupná a jejíž dobývání stojí nejméně peněz. Tyto zásoby ropy stačí jen šikovně vrtat a čerpat. Když začne tento zdroj vysychat, přistoupí těžaři k druhé fázi. Do vrtů vhání oxid uhličitý nebo vodu a jejich tlak vytlačuje z podzemí další ropu. </w:t>
      </w:r>
      <w:r w:rsidRPr="0037613D">
        <w:rPr>
          <w:i/>
          <w:color w:val="0000FF"/>
          <w:sz w:val="20"/>
        </w:rPr>
        <w:t>Časopis PETROLMAGAZÍN ročník IX 1/8 Oddálí nová naleziště ropný vrchol?</w:t>
      </w:r>
    </w:p>
    <w:p w:rsidR="00DC69D6" w:rsidRDefault="00DC69D6" w:rsidP="00DC69D6">
      <w:pPr>
        <w:pStyle w:val="azkladntext"/>
      </w:pPr>
      <w:r>
        <w:t xml:space="preserve">Z počátku se ropa těžila ze studní ručně vědry. Studně byly hluboké 2 - </w:t>
      </w:r>
      <w:smartTag w:uri="urn:schemas-microsoft-com:office:smarttags" w:element="metricconverter">
        <w:smartTagPr>
          <w:attr w:name="ProductID" w:val="60 m"/>
        </w:smartTagPr>
        <w:r>
          <w:t>60 m</w:t>
        </w:r>
      </w:smartTag>
      <w:r>
        <w:t xml:space="preserve"> a práce v nich byla velmi nebezpečná, těžká a málo produktivní. Od poloviny 19. stol. se v USA i v carském Rusku začaly vrtat sondy a otvory, ale vrtná technika se rozvíjela jen zvolna. Na počátku 20. stol. však zvítězila na celém světě a stále se zdokonaluje. To znamená, že se těží ropnými vrty a na povrch je ropa vytlačována samočinně nebo pumpami. Když se dostane na povrch, může být řídká jako benzin nebo i hustá jako dehet. To závisí na jejím chemickém složení, které se různí ložisko od ložiska. Více jak 95% surové ropy je tzv. ropa lehká s hustotou 0,82 až </w:t>
      </w:r>
      <w:smartTag w:uri="urn:schemas-microsoft-com:office:smarttags" w:element="metricconverter">
        <w:smartTagPr>
          <w:attr w:name="ProductID" w:val="0,86 gramů"/>
        </w:smartTagPr>
        <w:r>
          <w:t>0,86 gramů</w:t>
        </w:r>
      </w:smartTag>
      <w:r>
        <w:t xml:space="preserve"> na centimetr krychlový. Vrtá se v hloubkách 3 000 - </w:t>
      </w:r>
      <w:smartTag w:uri="urn:schemas-microsoft-com:office:smarttags" w:element="metricconverter">
        <w:smartTagPr>
          <w:attr w:name="ProductID" w:val="5 000 m"/>
        </w:smartTagPr>
        <w:r>
          <w:t>5 000 m</w:t>
        </w:r>
      </w:smartTag>
      <w:r>
        <w:t xml:space="preserve"> a zkoušejí se ještě hlubší vrty. Zatím nejhlubší vrty dosahují hlouběji než devět kilometrů. Ropa se těží i pod mořem, např. u Baku je 200 ropných věží v moři (dnes čerpá ropu z podmořských ložisek více než </w:t>
      </w:r>
      <w:r>
        <w:lastRenderedPageBreak/>
        <w:t>40 zemí světa). Z ložiska se dá získat až 80% veškeré ropy, jenže za nepříznivých podmínek to také může být podstatně méně. V průměru se získává 35%, což znamená, že většina ropy zůstává po vytěžení ložiska v zemi bez šance na využití. Získat více ropy z vrtu lze také vháněním vody nebo plynu do ložiska. Při tepelných metodách těžby se pod zem vhání pára nebo chemikálie - tím se sníží hustota ropy, která se pak snadněji pohybuje póry hornin. Tyto metody jsou samozřejmě drahé. Kromě toho volbu těžební metody ovlivňuje cena ropy na trhu. Pokud ceny stoupají, je možno těžit pomocí dražší technologie i z míst, odkud by se těžba jednoduššími metodami vůbec nevyplatila nebo vůbec nedala těžit. Naopak snižování cen ropy na trzích může vést i k uzavírání dosud rentabilních ložisek, a tím prakticky ke snižování množství ropy, které lze vytěžit.</w:t>
      </w:r>
      <w:r w:rsidR="00547447">
        <w:t xml:space="preserve"> </w:t>
      </w:r>
      <w:r>
        <w:t xml:space="preserve">Nejdražší je ovšem těžba ropy pod mořem. Průměrná cena ropného vrtu do hloubky moře </w:t>
      </w:r>
      <w:smartTag w:uri="urn:schemas-microsoft-com:office:smarttags" w:element="metricconverter">
        <w:smartTagPr>
          <w:attr w:name="ProductID" w:val="200 metrů"/>
        </w:smartTagPr>
        <w:r>
          <w:t>200 metrů</w:t>
        </w:r>
      </w:smartTag>
      <w:r>
        <w:t xml:space="preserve"> je 5 - 8 milionů USD, to je desetkrát v</w:t>
      </w:r>
      <w:r w:rsidR="00547447">
        <w:t xml:space="preserve">íce, než stojí vrt na pevnině. </w:t>
      </w:r>
      <w:r w:rsidR="00547447" w:rsidRPr="00547447">
        <w:t>V</w:t>
      </w:r>
      <w:r w:rsidR="00547447">
        <w:t> </w:t>
      </w:r>
      <w:r w:rsidRPr="00547447">
        <w:t>podmořské</w:t>
      </w:r>
      <w:r>
        <w:t xml:space="preserve"> hloubce </w:t>
      </w:r>
      <w:smartTag w:uri="urn:schemas-microsoft-com:office:smarttags" w:element="metricconverter">
        <w:smartTagPr>
          <w:attr w:name="ProductID" w:val="1 500 metrů"/>
        </w:smartTagPr>
        <w:r>
          <w:t>1 500 metrů</w:t>
        </w:r>
      </w:smartTag>
      <w:r>
        <w:t xml:space="preserve"> vyjde jeden ropný vrt na 40 - 50 milionů USD. Přesto se podmořská těžba zatím ropným mocnostem bohatě vyplatí.</w:t>
      </w:r>
    </w:p>
    <w:p w:rsidR="00DC69D6" w:rsidRDefault="0039076E" w:rsidP="00DC69D6">
      <w:pPr>
        <w:pStyle w:val="azkladntext"/>
      </w:pPr>
      <w:r>
        <w:rPr>
          <w:noProof/>
        </w:rPr>
        <w:drawing>
          <wp:anchor distT="0" distB="0" distL="114300" distR="114300" simplePos="0" relativeHeight="251655680" behindDoc="1" locked="0" layoutInCell="1" allowOverlap="0">
            <wp:simplePos x="0" y="0"/>
            <wp:positionH relativeFrom="column">
              <wp:posOffset>3771900</wp:posOffset>
            </wp:positionH>
            <wp:positionV relativeFrom="paragraph">
              <wp:posOffset>33655</wp:posOffset>
            </wp:positionV>
            <wp:extent cx="1895475" cy="2447925"/>
            <wp:effectExtent l="0" t="0" r="0" b="0"/>
            <wp:wrapSquare wrapText="bothSides"/>
            <wp:docPr id="662" name="obrázek 662" descr="http://www.simopt.cz/energyweb/web/EE/images/02/21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simopt.cz/energyweb/web/EE/images/02/21_07.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8954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9D6">
        <w:t xml:space="preserve">Ropná ložiska se otevírají a těží </w:t>
      </w:r>
      <w:r w:rsidR="00DC69D6">
        <w:rPr>
          <w:rStyle w:val="Siln"/>
        </w:rPr>
        <w:t>hlubinnými vrty</w:t>
      </w:r>
      <w:r w:rsidR="00DC69D6">
        <w:t>, z nichž ropa buď sama vyvěrá, někdy dokonce tryská do mnohametrové výše, nebo se čerpá. V případě samovolného výtoku se pochopitelně z ústí vrtu musí jímat a bezpečně odvádět. Při čerpání lze většinou využívat tlaku plynů, shromážděných ve svrchní části ložiska, pod nepropustnou vrstvou hornin.</w:t>
      </w:r>
    </w:p>
    <w:p w:rsidR="00500051" w:rsidRDefault="0039076E" w:rsidP="00DC69D6">
      <w:pPr>
        <w:pStyle w:val="azkladntext"/>
      </w:pPr>
      <w:r w:rsidRPr="00500051">
        <w:rPr>
          <w:noProof/>
        </w:rPr>
        <w:lastRenderedPageBreak/>
        <w:drawing>
          <wp:inline distT="0" distB="0" distL="0" distR="0">
            <wp:extent cx="5086350" cy="34226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6350" cy="3422650"/>
                    </a:xfrm>
                    <a:prstGeom prst="rect">
                      <a:avLst/>
                    </a:prstGeom>
                    <a:noFill/>
                    <a:ln>
                      <a:noFill/>
                    </a:ln>
                  </pic:spPr>
                </pic:pic>
              </a:graphicData>
            </a:graphic>
          </wp:inline>
        </w:drawing>
      </w:r>
    </w:p>
    <w:p w:rsidR="00DC69D6" w:rsidRDefault="00DC69D6" w:rsidP="00DC69D6">
      <w:pPr>
        <w:pStyle w:val="azkladntext"/>
      </w:pPr>
      <w:r>
        <w:t xml:space="preserve">   Vrty hloubené pro těžbu ropy procházejí nejrůznějšími horninami o různé tvrdosti a soudržnosti. Aby se jejich stěny nezavalovaly a vrt tak nebyl porušen, zabezpečují se stěny vrtu ocelovými rourami - </w:t>
      </w:r>
      <w:r>
        <w:rPr>
          <w:rStyle w:val="Siln"/>
        </w:rPr>
        <w:t>pažnicemi</w:t>
      </w:r>
      <w:r>
        <w:t>. Pažnice jsou do vrtu spouštěny již v průběhu vrtání - vrtné nářadí jimi prochází. Po dokončení vrtu se na jejich nejsvrchnější části připojuje jímací zařízení.</w:t>
      </w:r>
    </w:p>
    <w:p w:rsidR="00DC69D6" w:rsidRDefault="00500051" w:rsidP="001057A7">
      <w:pPr>
        <w:pStyle w:val="Nadpis3"/>
      </w:pPr>
      <w:r>
        <w:t>Těžba ropy na moři</w:t>
      </w:r>
    </w:p>
    <w:p w:rsidR="00DC69D6" w:rsidRDefault="00DC69D6" w:rsidP="00DC69D6">
      <w:pPr>
        <w:pStyle w:val="azkladntext"/>
      </w:pPr>
      <w:r>
        <w:t>Jelikož moře pokrývá skoro 3/4 zemského povrchu</w:t>
      </w:r>
      <w:r w:rsidR="00CE50B3">
        <w:t>,</w:t>
      </w:r>
      <w:r>
        <w:t xml:space="preserve"> je velice bohatým zdrojem ropy. Bohužel těžba z velkých hloubek je značně finančně a</w:t>
      </w:r>
      <w:r w:rsidR="00CE50B3">
        <w:t xml:space="preserve"> technologicky náročná, J</w:t>
      </w:r>
      <w:r>
        <w:t>ejí těžba převážně</w:t>
      </w:r>
      <w:r w:rsidR="00CE50B3">
        <w:t xml:space="preserve"> probíhá</w:t>
      </w:r>
      <w:r>
        <w:t xml:space="preserve"> v tzv. šelfové oblasti, kde je hloubka vody cca. do 400</w:t>
      </w:r>
      <w:r w:rsidR="00CE50B3">
        <w:t> </w:t>
      </w:r>
      <w:r>
        <w:t>m. Vrty hlubšího charakteru jsou také prováděny, ale nejsou tak četné. Pro vrtání do hloubky vody se používají stabilní vrtné plošiny, stojící na 3 - 5 nohách, které mají různý tvar a materiál (ocel, železobeton). Hmotnost takové plošiny je pře 800.000 t. Často se mořské dno po</w:t>
      </w:r>
      <w:r w:rsidR="00CE50B3">
        <w:t>d</w:t>
      </w:r>
      <w:r>
        <w:t xml:space="preserve"> nohami musí zpevňovat pomocí pilotů. Vrtná plošina má vrtnou věž, zařízení pro vrtání, sklady materiálů, pohonných hmot, dále vše pro ubytování obsluhy, její stravování, zábavu (sauna, tělocvična, kino), protože turnusy se střídají po 2 týdnech a plošina je od břehu vzdálena často i několik desítek kilometrů. Dále je zde plocha pro přistávání vrtulníků. Počet pracovníků se může pohybovat cca kolem 200.</w:t>
      </w:r>
    </w:p>
    <w:p w:rsidR="00DC69D6" w:rsidRDefault="00DC69D6" w:rsidP="00DC69D6">
      <w:pPr>
        <w:pStyle w:val="azkladntext"/>
      </w:pPr>
      <w:r>
        <w:lastRenderedPageBreak/>
        <w:t>Pro</w:t>
      </w:r>
      <w:r w:rsidR="002E307E">
        <w:t xml:space="preserve"> </w:t>
      </w:r>
      <w:r>
        <w:t>vrtání do větších hloubek mořské vody se používají plovoucí vrtné plošiny, umístěné na plovácích, které se odtáhnou na příslušné místo, kde se zakotví. Hmotnost takové plošiny je až 280 000 t.</w:t>
      </w:r>
    </w:p>
    <w:p w:rsidR="00DC69D6" w:rsidRPr="00D95FF8" w:rsidRDefault="00DC69D6" w:rsidP="00DC69D6">
      <w:pPr>
        <w:pStyle w:val="azkladntext"/>
      </w:pPr>
      <w:r>
        <w:t>Existují i vrtné plošiny pro oblasti moře, kde dochází k zamrzání, ty musí odolat tlaku ledu.</w:t>
      </w:r>
    </w:p>
    <w:p w:rsidR="00DC69D6" w:rsidRDefault="00DC69D6" w:rsidP="00824A89">
      <w:pPr>
        <w:pStyle w:val="Nadpis1"/>
      </w:pPr>
      <w:r>
        <w:t>Světové zásoby ropy</w:t>
      </w:r>
    </w:p>
    <w:p w:rsidR="00DC69D6" w:rsidRDefault="001A5101" w:rsidP="00DC69D6">
      <w:pPr>
        <w:pStyle w:val="azkladntext"/>
      </w:pPr>
      <w:r>
        <w:t xml:space="preserve">Jak již </w:t>
      </w:r>
      <w:r w:rsidR="00DC69D6">
        <w:t>bylo zmíněno</w:t>
      </w:r>
      <w:r>
        <w:t>,</w:t>
      </w:r>
      <w:r w:rsidR="00DC69D6">
        <w:t xml:space="preserve"> ropa patří mezi omezené, neobnovitelné zdroje. Vzhledem k této situaci je v posledních cca deseti letech zmiňován „ropný vrchol“. Odborná veřejnost se v jednotlivých názorech na určení konkrétního období, kdy ropný vrchol nastane</w:t>
      </w:r>
      <w:r>
        <w:t>,</w:t>
      </w:r>
      <w:r w:rsidR="00DC69D6">
        <w:t xml:space="preserve"> zásadně liší. První odhady zmiňovaly období, která již </w:t>
      </w:r>
      <w:r>
        <w:t xml:space="preserve">bez zásadních změn </w:t>
      </w:r>
      <w:r w:rsidR="00DC69D6">
        <w:t xml:space="preserve">proběhla, ale ropný vrchol zatím nenastal. Současné predikce se pohybují v časovém intervalu od cca 3  až do 50 let. Na posun ropného vrcholu mají zásadní vliv nová naleziště, která svým objemem dokáží nahradit stoupající spotřebu ropy. </w:t>
      </w:r>
    </w:p>
    <w:p w:rsidR="0014093B" w:rsidRDefault="0014093B" w:rsidP="00DC69D6">
      <w:pPr>
        <w:pStyle w:val="azkladntext"/>
      </w:pPr>
      <w:r>
        <w:t xml:space="preserve">V prvopočátcích těžby </w:t>
      </w:r>
      <w:r w:rsidR="00E93C44">
        <w:t xml:space="preserve">nebylo příliš náročné nacházet ropná ložiska. S rostoucími požadavky na straně spotřeby se postupně zvyšovaly investiční výdaje do objevování nových ložisek, postupně se zaváděly nové metody geofyzikálních průzkumů, způsobů těžby apod. </w:t>
      </w:r>
      <w:r w:rsidR="001A5101">
        <w:t xml:space="preserve"> Ty</w:t>
      </w:r>
      <w:r w:rsidR="00764F9E">
        <w:t>to</w:t>
      </w:r>
      <w:r w:rsidR="001A5101">
        <w:t xml:space="preserve"> nové přístupy</w:t>
      </w:r>
      <w:r w:rsidR="00764F9E">
        <w:t xml:space="preserve"> vedl</w:t>
      </w:r>
      <w:r w:rsidR="001A5101">
        <w:t>y</w:t>
      </w:r>
      <w:r w:rsidR="00764F9E">
        <w:t xml:space="preserve"> k objevům ložisek, kter</w:t>
      </w:r>
      <w:r w:rsidR="001A5101">
        <w:t>á</w:t>
      </w:r>
      <w:r w:rsidR="00764F9E">
        <w:t xml:space="preserve"> se nacházel</w:t>
      </w:r>
      <w:r w:rsidR="001A5101">
        <w:t>a</w:t>
      </w:r>
      <w:r w:rsidR="00764F9E">
        <w:t xml:space="preserve"> ve větších hloubkách a zároveň k efektivnějšímu využití jednotlivých vrtů.</w:t>
      </w:r>
    </w:p>
    <w:p w:rsidR="00E93C44" w:rsidRDefault="00E93C44" w:rsidP="00DC69D6">
      <w:pPr>
        <w:pStyle w:val="azkladntext"/>
      </w:pPr>
      <w:r>
        <w:t>Zhruba do roku 1950 byly světovou jedničkou v produkci ropy USA, které byly předstiženy produkci OPEC.</w:t>
      </w:r>
      <w:r w:rsidR="00764F9E">
        <w:t xml:space="preserve"> V rámci států OPEC má v oblasti těžby zásadní zastoupení Saudská Arábie, která dosahuje zhruba 30% těžby států OPEC.</w:t>
      </w:r>
    </w:p>
    <w:p w:rsidR="008E7E32" w:rsidRDefault="008E7E32" w:rsidP="00DC69D6">
      <w:pPr>
        <w:pStyle w:val="azkladntext"/>
      </w:pPr>
      <w:r>
        <w:t>Zjistit přesná data výše ropných zásob je velice složité</w:t>
      </w:r>
      <w:r w:rsidR="00730CE0">
        <w:t>, jelikož státy a firmy, které data poskytují</w:t>
      </w:r>
      <w:r w:rsidR="001A5101">
        <w:t>,</w:t>
      </w:r>
      <w:r w:rsidR="00C76F00">
        <w:t xml:space="preserve"> neuvádějí zpravidla </w:t>
      </w:r>
      <w:r w:rsidR="00730CE0">
        <w:t>přesné informace. K tomuto postupu je vedou různé důvody jako například možnost ovlivňování cen ropy, možnost vyššího auditu firmy apod.</w:t>
      </w:r>
      <w:r w:rsidR="00DB3107">
        <w:t xml:space="preserve"> Jako příklad slouží období konce 80. let minulého století, kdy v podstatě několik států OPEC přes noc zvýšilo zásoby ropy o 40-190% aniž by byl nahlášen nějaký objev ložiska ropy. K tomuto je vedl nový systém stanovení těžebních kvót v rámci OPEC, který byl závislý na výši zásob ropy.</w:t>
      </w:r>
    </w:p>
    <w:p w:rsidR="0014093B" w:rsidRPr="0014093B" w:rsidRDefault="0039076E" w:rsidP="0014093B">
      <w:pPr>
        <w:pStyle w:val="azkladntext"/>
        <w:spacing w:before="0" w:line="240" w:lineRule="auto"/>
        <w:ind w:firstLine="0"/>
        <w:jc w:val="center"/>
      </w:pPr>
      <w:r w:rsidRPr="0014093B">
        <w:rPr>
          <w:noProof/>
        </w:rPr>
        <w:lastRenderedPageBreak/>
        <w:drawing>
          <wp:inline distT="0" distB="0" distL="0" distR="0">
            <wp:extent cx="4819650" cy="25463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9650" cy="2546350"/>
                    </a:xfrm>
                    <a:prstGeom prst="rect">
                      <a:avLst/>
                    </a:prstGeom>
                    <a:noFill/>
                    <a:ln>
                      <a:noFill/>
                    </a:ln>
                  </pic:spPr>
                </pic:pic>
              </a:graphicData>
            </a:graphic>
          </wp:inline>
        </w:drawing>
      </w:r>
    </w:p>
    <w:p w:rsidR="0014093B" w:rsidRDefault="0014093B" w:rsidP="0014093B">
      <w:pPr>
        <w:pStyle w:val="azkladntext"/>
        <w:spacing w:before="0" w:line="240" w:lineRule="auto"/>
        <w:ind w:firstLine="0"/>
        <w:jc w:val="center"/>
      </w:pPr>
      <w:r>
        <w:t xml:space="preserve">graf </w:t>
      </w:r>
      <w:fldSimple w:instr=" SEQ graf \* ARABIC ">
        <w:r>
          <w:rPr>
            <w:noProof/>
          </w:rPr>
          <w:t>1</w:t>
        </w:r>
      </w:fldSimple>
      <w:r>
        <w:t xml:space="preserve"> Výše objevených ropných zásob po dekádách pro celý svět </w:t>
      </w:r>
    </w:p>
    <w:p w:rsidR="00764F9E" w:rsidRDefault="00764F9E" w:rsidP="00764F9E">
      <w:pPr>
        <w:pStyle w:val="azkladntext"/>
      </w:pPr>
      <w:r>
        <w:t xml:space="preserve">Z grafu je patrné, že k největším objevům ropných ložisek došlo v 60. letech minulého století a největší ložiska byla již objevena. I přesto, že jsou využívány stále modernější technologie, je objevování nových ložisek stále </w:t>
      </w:r>
      <w:r w:rsidR="00DB3107">
        <w:t>méně časté</w:t>
      </w:r>
      <w:r w:rsidR="008E7E32">
        <w:t>.</w:t>
      </w:r>
    </w:p>
    <w:p w:rsidR="00E70DE7" w:rsidRDefault="00E70DE7" w:rsidP="00E70DE7">
      <w:pPr>
        <w:pStyle w:val="azkladntext"/>
      </w:pPr>
      <w:r>
        <w:t>Ve snaze otevřít nové zásoby obracejí energetické koncerny svou pozornost k</w:t>
      </w:r>
      <w:r w:rsidR="0011437B">
        <w:t> </w:t>
      </w:r>
      <w:r>
        <w:t>oblastem, ve kterých byla těžba ještě před několika málo desetiletími nemyslitelná. Platí to pro Grónsko, ale také pro naleziště při severních březích Aljašky.</w:t>
      </w:r>
    </w:p>
    <w:p w:rsidR="00C76F00" w:rsidRDefault="00C76F00" w:rsidP="00764F9E">
      <w:pPr>
        <w:pStyle w:val="azkladntext"/>
      </w:pPr>
      <w:r>
        <w:t>Složitost hledání nových ložisek, také potvrzuje následující obrázek, který prezentuje nutnost postupovat stále dál do hlubších vod moří a oceánů při hledání a</w:t>
      </w:r>
      <w:r w:rsidR="0011437B">
        <w:t> </w:t>
      </w:r>
      <w:r>
        <w:t>otvírání nových ložisek.</w:t>
      </w:r>
    </w:p>
    <w:p w:rsidR="00C76F00" w:rsidRDefault="0039076E" w:rsidP="00383BB9">
      <w:pPr>
        <w:pStyle w:val="azkladntext"/>
        <w:tabs>
          <w:tab w:val="clear" w:pos="709"/>
        </w:tabs>
        <w:ind w:firstLine="0"/>
        <w:jc w:val="center"/>
      </w:pPr>
      <w:r>
        <w:rPr>
          <w:noProof/>
        </w:rPr>
        <w:drawing>
          <wp:inline distT="0" distB="0" distL="0" distR="0">
            <wp:extent cx="4254500" cy="24447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l="21062" t="37839" r="58174" b="16753"/>
                    <a:stretch>
                      <a:fillRect/>
                    </a:stretch>
                  </pic:blipFill>
                  <pic:spPr bwMode="auto">
                    <a:xfrm>
                      <a:off x="0" y="0"/>
                      <a:ext cx="4254500" cy="2444750"/>
                    </a:xfrm>
                    <a:prstGeom prst="rect">
                      <a:avLst/>
                    </a:prstGeom>
                    <a:noFill/>
                    <a:ln>
                      <a:noFill/>
                    </a:ln>
                  </pic:spPr>
                </pic:pic>
              </a:graphicData>
            </a:graphic>
          </wp:inline>
        </w:drawing>
      </w:r>
    </w:p>
    <w:p w:rsidR="00383BB9" w:rsidRDefault="00383BB9" w:rsidP="00383BB9">
      <w:pPr>
        <w:pStyle w:val="azkladntext"/>
        <w:tabs>
          <w:tab w:val="clear" w:pos="709"/>
        </w:tabs>
        <w:ind w:firstLine="0"/>
        <w:jc w:val="center"/>
      </w:pPr>
      <w:r>
        <w:t>Obrázek Vývojový trend těžby ropy z mořského dna</w:t>
      </w:r>
      <w:sdt>
        <w:sdtPr>
          <w:id w:val="1613545949"/>
          <w:citation/>
        </w:sdtPr>
        <w:sdtContent>
          <w:r w:rsidR="0011437B">
            <w:fldChar w:fldCharType="begin"/>
          </w:r>
          <w:r w:rsidR="0011437B">
            <w:instrText xml:space="preserve"> CITATION Ropa \l 1029 </w:instrText>
          </w:r>
          <w:r w:rsidR="0011437B">
            <w:fldChar w:fldCharType="separate"/>
          </w:r>
          <w:r w:rsidR="0011437B">
            <w:rPr>
              <w:noProof/>
            </w:rPr>
            <w:t xml:space="preserve"> [2]</w:t>
          </w:r>
          <w:r w:rsidR="0011437B">
            <w:fldChar w:fldCharType="end"/>
          </w:r>
        </w:sdtContent>
      </w:sdt>
    </w:p>
    <w:p w:rsidR="0011437B" w:rsidRDefault="0011437B" w:rsidP="00383BB9">
      <w:pPr>
        <w:pStyle w:val="azkladntext"/>
        <w:tabs>
          <w:tab w:val="clear" w:pos="709"/>
        </w:tabs>
        <w:ind w:firstLine="0"/>
        <w:jc w:val="center"/>
      </w:pPr>
    </w:p>
    <w:p w:rsidR="00C76F00" w:rsidRDefault="00C76F00" w:rsidP="00E70DE7">
      <w:pPr>
        <w:pStyle w:val="odrka2"/>
      </w:pPr>
      <w:r>
        <w:lastRenderedPageBreak/>
        <w:t xml:space="preserve">1978 – plošina COGNAC, </w:t>
      </w:r>
      <w:r w:rsidRPr="00C76F00">
        <w:t>dokončena v roce 1978, klasická plošina společnosti Shell před pobřežím státu Mississippi s nejvyšší vrtnou věží (547 m) a pilíři opírajícími se o dno v hloubce 311 metrů. V roce 1982 se zde těžilo 72 tisíc barelů ropy a 100 milionů kubických metrů plynu denně.</w:t>
      </w:r>
    </w:p>
    <w:p w:rsidR="00C76F00" w:rsidRDefault="00C76F00" w:rsidP="00E70DE7">
      <w:pPr>
        <w:pStyle w:val="odrka2"/>
      </w:pPr>
      <w:r>
        <w:t xml:space="preserve">1997 – plošina RAM-POWELL, </w:t>
      </w:r>
      <w:r w:rsidRPr="00C76F00">
        <w:t>produkce zahájena v roce 1997, plošina spočívající na teleskopicky vysunovatelných nohou 200 km jihovýchodně od New Orleansu, z níž se svého času vrtalo do dna v rekordní hloubce 979 m, společný projekt koncernů Shell, BP a Exxon/Mobil, denní těžba 70 tisíc barelů ropy a 260 milionů m3 plynu</w:t>
      </w:r>
      <w:r>
        <w:t>.</w:t>
      </w:r>
    </w:p>
    <w:p w:rsidR="00C76F00" w:rsidRDefault="00C76F00" w:rsidP="00E70DE7">
      <w:pPr>
        <w:pStyle w:val="odrka2"/>
      </w:pPr>
      <w:r>
        <w:t>2000 - v</w:t>
      </w:r>
      <w:r w:rsidRPr="00C76F00">
        <w:t xml:space="preserve">rtné plavidlo ukotvené k mořskému dnu a operující 110 km před pobřežím brazilského státu </w:t>
      </w:r>
      <w:proofErr w:type="spellStart"/>
      <w:r w:rsidRPr="00C76F00">
        <w:t>Espirito</w:t>
      </w:r>
      <w:proofErr w:type="spellEnd"/>
      <w:r w:rsidRPr="00C76F00">
        <w:t xml:space="preserve"> </w:t>
      </w:r>
      <w:proofErr w:type="spellStart"/>
      <w:r w:rsidRPr="00C76F00">
        <w:t>Santo</w:t>
      </w:r>
      <w:proofErr w:type="spellEnd"/>
      <w:r w:rsidRPr="00C76F00">
        <w:t xml:space="preserve">. První průzkumný vrt byl realizován v roce 2000 do hloubky 1780 metrů, 330 metrů dlouhá loď </w:t>
      </w:r>
      <w:r w:rsidR="00CE50B3">
        <w:t>j</w:t>
      </w:r>
      <w:r w:rsidRPr="00C76F00">
        <w:t>e schopna těžit až 100 tisíc barelů ropy denně.</w:t>
      </w:r>
    </w:p>
    <w:p w:rsidR="00C76F00" w:rsidRDefault="00C76F00" w:rsidP="00E70DE7">
      <w:pPr>
        <w:pStyle w:val="odrka2"/>
      </w:pPr>
      <w:r>
        <w:t xml:space="preserve">2003 - </w:t>
      </w:r>
      <w:r w:rsidRPr="00C76F00">
        <w:t>vrtná plošina vznášející se na hladině 210 km jihovýchodně od New Orleansu díky obřím plovákům ponořeným pod hladinou, vybavená zařízením permanentně korigujícím pozici nad vrtem a upoutaná k mořskému dnu lany, schopná těžit 110 tisíc barelů ropy a půl miliardy m3 plynu denně z hloubky 1770 až 2360 metrů</w:t>
      </w:r>
      <w:r>
        <w:t>.</w:t>
      </w:r>
    </w:p>
    <w:p w:rsidR="00C76F00" w:rsidRDefault="00C76F00" w:rsidP="00E70DE7">
      <w:pPr>
        <w:pStyle w:val="odrka2"/>
      </w:pPr>
      <w:r>
        <w:t xml:space="preserve">2008 - </w:t>
      </w:r>
      <w:r w:rsidRPr="00C76F00">
        <w:t xml:space="preserve">vrtná plošina společnosti Shell s ponornou strukturou nacházející se 300 km jižně od texaského </w:t>
      </w:r>
      <w:proofErr w:type="spellStart"/>
      <w:r w:rsidRPr="00C76F00">
        <w:t>Galvestone</w:t>
      </w:r>
      <w:proofErr w:type="spellEnd"/>
      <w:r w:rsidRPr="00C76F00">
        <w:t>, vrt byl zahájen v roce 2008 do mořského dna v rekordní hloubce 2926 m, ložisko se nachází dalších 1800 m pod dnem moře, předpokládaná denní produkce 130 tisíc barelů ropy denně</w:t>
      </w:r>
      <w:r>
        <w:t>.</w:t>
      </w:r>
    </w:p>
    <w:p w:rsidR="00E70DE7" w:rsidRDefault="00E70DE7" w:rsidP="00E70DE7">
      <w:pPr>
        <w:pStyle w:val="odrka2"/>
        <w:numPr>
          <w:ilvl w:val="0"/>
          <w:numId w:val="0"/>
        </w:numPr>
        <w:ind w:left="714"/>
      </w:pPr>
    </w:p>
    <w:p w:rsidR="00E70DE7" w:rsidRDefault="00E70DE7" w:rsidP="00E70DE7">
      <w:pPr>
        <w:pStyle w:val="azkladntext"/>
      </w:pPr>
      <w:r>
        <w:t>Zatímco v 70. letech leželo ústí vrtů v průměru tři sta metrů pod hladinou moře, dnes se běžně těží ze dna v hloubce půldruhého kilometru. Těžaři jsou přitom schopni jít i do dvou či tří kilometrů.</w:t>
      </w:r>
    </w:p>
    <w:p w:rsidR="00E70DE7" w:rsidRDefault="00E70DE7" w:rsidP="00E70DE7">
      <w:pPr>
        <w:pStyle w:val="azkladntext"/>
      </w:pPr>
      <w:r>
        <w:t xml:space="preserve">Umožnily to nové technologie a vrtné soupravy schopné proniknout do roponosných vrstev nejdříve po svislici a následně takřka po horizontále, a to na vzdálenost šesti i více kilometrů. </w:t>
      </w:r>
    </w:p>
    <w:p w:rsidR="00E70DE7" w:rsidRPr="00764F9E" w:rsidRDefault="00E70DE7" w:rsidP="00764F9E">
      <w:pPr>
        <w:pStyle w:val="azkladntext"/>
      </w:pPr>
    </w:p>
    <w:p w:rsidR="0014093B" w:rsidRDefault="0014093B" w:rsidP="0014093B">
      <w:pPr>
        <w:pStyle w:val="Nadpis2"/>
      </w:pPr>
      <w:bookmarkStart w:id="4" w:name="_Ropná_ložiska"/>
      <w:bookmarkEnd w:id="4"/>
      <w:r>
        <w:lastRenderedPageBreak/>
        <w:t>Ropná ložiska</w:t>
      </w:r>
    </w:p>
    <w:p w:rsidR="0014093B" w:rsidRDefault="0014093B" w:rsidP="0014093B">
      <w:pPr>
        <w:pStyle w:val="azkladntext"/>
      </w:pPr>
      <w:r>
        <w:t>Určité obavy potvrzuje i přehled největších nalezišť ropy s fází těžby, v které se nacházejí. Z tabulky je patrné, že největší ložiska mají svůj vrchol již za sebou nebo jej dosáhly.</w:t>
      </w:r>
    </w:p>
    <w:p w:rsidR="009166A9" w:rsidRPr="00F81E43" w:rsidRDefault="009166A9" w:rsidP="009166A9">
      <w:pPr>
        <w:pStyle w:val="azkladntext"/>
      </w:pPr>
      <w:r>
        <w:t xml:space="preserve">Tabulka </w:t>
      </w:r>
      <w:fldSimple w:instr=" SEQ Tabulka \* ARABIC ">
        <w:r>
          <w:rPr>
            <w:noProof/>
          </w:rPr>
          <w:t>1</w:t>
        </w:r>
      </w:fldSimple>
      <w:r>
        <w:t xml:space="preserve"> Seznam největších světových ložisek ropy a jejich fáze těžby</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303"/>
        <w:gridCol w:w="2303"/>
        <w:gridCol w:w="1802"/>
        <w:gridCol w:w="1170"/>
      </w:tblGrid>
      <w:tr w:rsidR="0014093B" w:rsidTr="00E07432">
        <w:trPr>
          <w:jc w:val="center"/>
        </w:trPr>
        <w:tc>
          <w:tcPr>
            <w:tcW w:w="2303" w:type="dxa"/>
            <w:tcBorders>
              <w:bottom w:val="double" w:sz="4" w:space="0" w:color="auto"/>
            </w:tcBorders>
            <w:vAlign w:val="center"/>
          </w:tcPr>
          <w:p w:rsidR="0014093B" w:rsidRDefault="0014093B" w:rsidP="00E07432">
            <w:pPr>
              <w:pStyle w:val="azkladntext"/>
              <w:spacing w:line="240" w:lineRule="auto"/>
              <w:ind w:firstLine="0"/>
              <w:jc w:val="center"/>
            </w:pPr>
            <w:r>
              <w:t>Název ložiska</w:t>
            </w:r>
          </w:p>
        </w:tc>
        <w:tc>
          <w:tcPr>
            <w:tcW w:w="2303" w:type="dxa"/>
            <w:tcBorders>
              <w:bottom w:val="double" w:sz="4" w:space="0" w:color="auto"/>
            </w:tcBorders>
            <w:vAlign w:val="center"/>
          </w:tcPr>
          <w:p w:rsidR="0014093B" w:rsidRDefault="0014093B" w:rsidP="00E07432">
            <w:pPr>
              <w:pStyle w:val="azkladntext"/>
              <w:spacing w:line="240" w:lineRule="auto"/>
              <w:ind w:firstLine="0"/>
              <w:jc w:val="center"/>
            </w:pPr>
            <w:r>
              <w:t>Stát</w:t>
            </w:r>
          </w:p>
        </w:tc>
        <w:tc>
          <w:tcPr>
            <w:tcW w:w="1802" w:type="dxa"/>
            <w:tcBorders>
              <w:bottom w:val="double" w:sz="4" w:space="0" w:color="auto"/>
            </w:tcBorders>
            <w:vAlign w:val="center"/>
          </w:tcPr>
          <w:p w:rsidR="0014093B" w:rsidRDefault="0014093B" w:rsidP="00E07432">
            <w:pPr>
              <w:pStyle w:val="azkladntext"/>
              <w:spacing w:line="240" w:lineRule="auto"/>
              <w:ind w:firstLine="0"/>
              <w:jc w:val="center"/>
            </w:pPr>
            <w:r>
              <w:t>Zásoby ropy                   (mld. barelů)</w:t>
            </w:r>
          </w:p>
        </w:tc>
        <w:tc>
          <w:tcPr>
            <w:tcW w:w="1170" w:type="dxa"/>
            <w:tcBorders>
              <w:bottom w:val="double" w:sz="4" w:space="0" w:color="auto"/>
            </w:tcBorders>
            <w:vAlign w:val="center"/>
          </w:tcPr>
          <w:p w:rsidR="0014093B" w:rsidRDefault="0014093B" w:rsidP="00E07432">
            <w:pPr>
              <w:pStyle w:val="azkladntext"/>
              <w:spacing w:line="240" w:lineRule="auto"/>
              <w:ind w:firstLine="0"/>
              <w:jc w:val="center"/>
            </w:pPr>
            <w:r>
              <w:t>Fáze těžby</w:t>
            </w:r>
          </w:p>
        </w:tc>
      </w:tr>
      <w:tr w:rsidR="0014093B" w:rsidTr="00E07432">
        <w:trPr>
          <w:trHeight w:val="284"/>
          <w:jc w:val="center"/>
        </w:trPr>
        <w:tc>
          <w:tcPr>
            <w:tcW w:w="2303" w:type="dxa"/>
            <w:tcBorders>
              <w:top w:val="double" w:sz="4" w:space="0" w:color="auto"/>
            </w:tcBorders>
            <w:vAlign w:val="center"/>
          </w:tcPr>
          <w:p w:rsidR="0014093B" w:rsidRDefault="0014093B" w:rsidP="00E07432">
            <w:pPr>
              <w:pStyle w:val="azkladntext"/>
              <w:spacing w:before="0" w:line="240" w:lineRule="auto"/>
              <w:ind w:firstLine="0"/>
              <w:jc w:val="left"/>
            </w:pPr>
            <w:proofErr w:type="spellStart"/>
            <w:r>
              <w:t>Ghavar</w:t>
            </w:r>
            <w:proofErr w:type="spellEnd"/>
          </w:p>
        </w:tc>
        <w:tc>
          <w:tcPr>
            <w:tcW w:w="2303" w:type="dxa"/>
            <w:tcBorders>
              <w:top w:val="double" w:sz="4" w:space="0" w:color="auto"/>
            </w:tcBorders>
            <w:vAlign w:val="center"/>
          </w:tcPr>
          <w:p w:rsidR="0014093B" w:rsidRDefault="0014093B" w:rsidP="00E07432">
            <w:pPr>
              <w:pStyle w:val="azkladntext"/>
              <w:spacing w:before="0" w:line="240" w:lineRule="auto"/>
              <w:ind w:firstLine="0"/>
              <w:jc w:val="left"/>
            </w:pPr>
            <w:r>
              <w:t>Saudská Arábie</w:t>
            </w:r>
          </w:p>
        </w:tc>
        <w:tc>
          <w:tcPr>
            <w:tcW w:w="1802" w:type="dxa"/>
            <w:tcBorders>
              <w:top w:val="double" w:sz="4" w:space="0" w:color="auto"/>
            </w:tcBorders>
            <w:vAlign w:val="center"/>
          </w:tcPr>
          <w:p w:rsidR="0014093B" w:rsidRDefault="0014093B" w:rsidP="00E07432">
            <w:pPr>
              <w:pStyle w:val="azkladntext"/>
              <w:spacing w:before="0" w:line="240" w:lineRule="auto"/>
              <w:ind w:firstLine="0"/>
              <w:jc w:val="center"/>
            </w:pPr>
            <w:r>
              <w:t>75-83</w:t>
            </w:r>
          </w:p>
        </w:tc>
        <w:tc>
          <w:tcPr>
            <w:tcW w:w="1170" w:type="dxa"/>
            <w:tcBorders>
              <w:top w:val="double" w:sz="4" w:space="0" w:color="auto"/>
            </w:tcBorders>
            <w:vAlign w:val="center"/>
          </w:tcPr>
          <w:p w:rsidR="0014093B" w:rsidRPr="00E07432" w:rsidRDefault="0014093B" w:rsidP="00E07432">
            <w:pPr>
              <w:pStyle w:val="azkladntext"/>
              <w:spacing w:before="0" w:line="240" w:lineRule="auto"/>
              <w:ind w:firstLine="0"/>
              <w:jc w:val="center"/>
              <w:rPr>
                <w:sz w:val="28"/>
                <w:szCs w:val="28"/>
              </w:rPr>
            </w:pPr>
            <w:r w:rsidRPr="00E07432">
              <w:rPr>
                <w:rFonts w:cs="Arial"/>
                <w:sz w:val="28"/>
                <w:szCs w:val="28"/>
              </w:rPr>
              <w:sym w:font="Wingdings" w:char="F0F2"/>
            </w:r>
          </w:p>
        </w:tc>
      </w:tr>
      <w:tr w:rsidR="0014093B" w:rsidTr="00E07432">
        <w:trPr>
          <w:trHeight w:val="284"/>
          <w:jc w:val="center"/>
        </w:trPr>
        <w:tc>
          <w:tcPr>
            <w:tcW w:w="2303" w:type="dxa"/>
            <w:vAlign w:val="center"/>
          </w:tcPr>
          <w:p w:rsidR="0014093B" w:rsidRDefault="0014093B" w:rsidP="00E07432">
            <w:pPr>
              <w:pStyle w:val="azkladntext"/>
              <w:spacing w:before="0" w:line="240" w:lineRule="auto"/>
              <w:ind w:firstLine="0"/>
              <w:jc w:val="left"/>
            </w:pPr>
            <w:proofErr w:type="spellStart"/>
            <w:r>
              <w:t>Burgan</w:t>
            </w:r>
            <w:proofErr w:type="spellEnd"/>
          </w:p>
        </w:tc>
        <w:tc>
          <w:tcPr>
            <w:tcW w:w="2303" w:type="dxa"/>
            <w:vAlign w:val="center"/>
          </w:tcPr>
          <w:p w:rsidR="0014093B" w:rsidRDefault="0014093B" w:rsidP="00E07432">
            <w:pPr>
              <w:pStyle w:val="azkladntext"/>
              <w:spacing w:before="0" w:line="240" w:lineRule="auto"/>
              <w:ind w:firstLine="0"/>
              <w:jc w:val="left"/>
            </w:pPr>
            <w:r>
              <w:t>Kuvajt</w:t>
            </w:r>
          </w:p>
        </w:tc>
        <w:tc>
          <w:tcPr>
            <w:tcW w:w="1802" w:type="dxa"/>
            <w:vAlign w:val="center"/>
          </w:tcPr>
          <w:p w:rsidR="0014093B" w:rsidRDefault="0014093B" w:rsidP="00E07432">
            <w:pPr>
              <w:pStyle w:val="azkladntext"/>
              <w:spacing w:before="0" w:line="240" w:lineRule="auto"/>
              <w:ind w:firstLine="0"/>
              <w:jc w:val="center"/>
            </w:pPr>
            <w:r>
              <w:t>66-72</w:t>
            </w:r>
          </w:p>
        </w:tc>
        <w:tc>
          <w:tcPr>
            <w:tcW w:w="1170" w:type="dxa"/>
            <w:vAlign w:val="center"/>
          </w:tcPr>
          <w:p w:rsidR="0014093B" w:rsidRPr="00E07432" w:rsidRDefault="0014093B" w:rsidP="00E07432">
            <w:pPr>
              <w:pStyle w:val="azkladntext"/>
              <w:spacing w:before="0" w:line="240" w:lineRule="auto"/>
              <w:ind w:firstLine="0"/>
              <w:jc w:val="center"/>
              <w:rPr>
                <w:rFonts w:cs="Arial"/>
                <w:sz w:val="28"/>
                <w:szCs w:val="28"/>
              </w:rPr>
            </w:pPr>
            <w:r w:rsidRPr="00E07432">
              <w:rPr>
                <w:rFonts w:cs="Arial"/>
                <w:sz w:val="28"/>
                <w:szCs w:val="28"/>
              </w:rPr>
              <w:sym w:font="Wingdings" w:char="F0F2"/>
            </w:r>
          </w:p>
        </w:tc>
      </w:tr>
      <w:tr w:rsidR="0014093B" w:rsidTr="00E07432">
        <w:trPr>
          <w:trHeight w:val="284"/>
          <w:jc w:val="center"/>
        </w:trPr>
        <w:tc>
          <w:tcPr>
            <w:tcW w:w="2303" w:type="dxa"/>
            <w:vAlign w:val="center"/>
          </w:tcPr>
          <w:p w:rsidR="0014093B" w:rsidRDefault="0014093B" w:rsidP="00E07432">
            <w:pPr>
              <w:pStyle w:val="azkladntext"/>
              <w:spacing w:before="0" w:line="240" w:lineRule="auto"/>
              <w:ind w:firstLine="0"/>
              <w:jc w:val="left"/>
            </w:pPr>
            <w:proofErr w:type="spellStart"/>
            <w:r>
              <w:t>Cantarell</w:t>
            </w:r>
            <w:proofErr w:type="spellEnd"/>
          </w:p>
        </w:tc>
        <w:tc>
          <w:tcPr>
            <w:tcW w:w="2303" w:type="dxa"/>
            <w:vAlign w:val="center"/>
          </w:tcPr>
          <w:p w:rsidR="0014093B" w:rsidRDefault="0014093B" w:rsidP="00E07432">
            <w:pPr>
              <w:pStyle w:val="azkladntext"/>
              <w:spacing w:before="0" w:line="240" w:lineRule="auto"/>
              <w:ind w:firstLine="0"/>
              <w:jc w:val="left"/>
            </w:pPr>
            <w:r>
              <w:t>Mexiko</w:t>
            </w:r>
          </w:p>
        </w:tc>
        <w:tc>
          <w:tcPr>
            <w:tcW w:w="1802" w:type="dxa"/>
            <w:vAlign w:val="center"/>
          </w:tcPr>
          <w:p w:rsidR="0014093B" w:rsidRDefault="0014093B" w:rsidP="00E07432">
            <w:pPr>
              <w:pStyle w:val="azkladntext"/>
              <w:spacing w:before="0" w:line="240" w:lineRule="auto"/>
              <w:ind w:firstLine="0"/>
              <w:jc w:val="center"/>
            </w:pPr>
            <w:r>
              <w:t>18-35</w:t>
            </w:r>
          </w:p>
        </w:tc>
        <w:tc>
          <w:tcPr>
            <w:tcW w:w="1170" w:type="dxa"/>
            <w:vAlign w:val="center"/>
          </w:tcPr>
          <w:p w:rsidR="0014093B" w:rsidRPr="00E07432" w:rsidRDefault="0014093B" w:rsidP="00E07432">
            <w:pPr>
              <w:pStyle w:val="azkladntext"/>
              <w:spacing w:before="0" w:line="240" w:lineRule="auto"/>
              <w:ind w:firstLine="0"/>
              <w:jc w:val="center"/>
              <w:rPr>
                <w:sz w:val="28"/>
                <w:szCs w:val="28"/>
              </w:rPr>
            </w:pPr>
            <w:r w:rsidRPr="00E07432">
              <w:rPr>
                <w:rFonts w:cs="Arial"/>
                <w:sz w:val="28"/>
                <w:szCs w:val="28"/>
              </w:rPr>
              <w:sym w:font="Wingdings" w:char="F0F2"/>
            </w:r>
          </w:p>
        </w:tc>
      </w:tr>
      <w:tr w:rsidR="0014093B" w:rsidTr="00E07432">
        <w:trPr>
          <w:trHeight w:val="284"/>
          <w:jc w:val="center"/>
        </w:trPr>
        <w:tc>
          <w:tcPr>
            <w:tcW w:w="2303" w:type="dxa"/>
            <w:vAlign w:val="center"/>
          </w:tcPr>
          <w:p w:rsidR="0014093B" w:rsidRDefault="0014093B" w:rsidP="00E07432">
            <w:pPr>
              <w:pStyle w:val="azkladntext"/>
              <w:spacing w:before="0" w:line="240" w:lineRule="auto"/>
              <w:ind w:firstLine="0"/>
              <w:jc w:val="left"/>
            </w:pPr>
            <w:proofErr w:type="spellStart"/>
            <w:r>
              <w:t>Bolivar</w:t>
            </w:r>
            <w:proofErr w:type="spellEnd"/>
            <w:r>
              <w:t xml:space="preserve"> </w:t>
            </w:r>
            <w:proofErr w:type="spellStart"/>
            <w:r>
              <w:t>Coastal</w:t>
            </w:r>
            <w:proofErr w:type="spellEnd"/>
          </w:p>
        </w:tc>
        <w:tc>
          <w:tcPr>
            <w:tcW w:w="2303" w:type="dxa"/>
            <w:vAlign w:val="center"/>
          </w:tcPr>
          <w:p w:rsidR="0014093B" w:rsidRDefault="0014093B" w:rsidP="00E07432">
            <w:pPr>
              <w:pStyle w:val="azkladntext"/>
              <w:spacing w:before="0" w:line="240" w:lineRule="auto"/>
              <w:ind w:firstLine="0"/>
              <w:jc w:val="left"/>
            </w:pPr>
            <w:r>
              <w:t>Venezuela</w:t>
            </w:r>
          </w:p>
        </w:tc>
        <w:tc>
          <w:tcPr>
            <w:tcW w:w="1802" w:type="dxa"/>
            <w:vAlign w:val="center"/>
          </w:tcPr>
          <w:p w:rsidR="0014093B" w:rsidRDefault="0014093B" w:rsidP="00E07432">
            <w:pPr>
              <w:pStyle w:val="azkladntext"/>
              <w:spacing w:before="0" w:line="240" w:lineRule="auto"/>
              <w:ind w:firstLine="0"/>
              <w:jc w:val="center"/>
            </w:pPr>
            <w:r>
              <w:t>30-32</w:t>
            </w:r>
          </w:p>
        </w:tc>
        <w:tc>
          <w:tcPr>
            <w:tcW w:w="1170" w:type="dxa"/>
            <w:vAlign w:val="center"/>
          </w:tcPr>
          <w:p w:rsidR="0014093B" w:rsidRPr="00E07432" w:rsidRDefault="0014093B" w:rsidP="00E07432">
            <w:pPr>
              <w:pStyle w:val="azkladntext"/>
              <w:spacing w:before="0" w:line="240" w:lineRule="auto"/>
              <w:ind w:firstLine="0"/>
              <w:jc w:val="center"/>
              <w:rPr>
                <w:rFonts w:cs="Arial"/>
                <w:sz w:val="28"/>
                <w:szCs w:val="28"/>
              </w:rPr>
            </w:pPr>
            <w:r w:rsidRPr="00E07432">
              <w:rPr>
                <w:rFonts w:cs="Arial"/>
                <w:sz w:val="28"/>
                <w:szCs w:val="28"/>
              </w:rPr>
              <w:sym w:font="Wingdings" w:char="F0F0"/>
            </w:r>
          </w:p>
        </w:tc>
      </w:tr>
      <w:tr w:rsidR="0014093B" w:rsidTr="00E07432">
        <w:trPr>
          <w:trHeight w:val="284"/>
          <w:jc w:val="center"/>
        </w:trPr>
        <w:tc>
          <w:tcPr>
            <w:tcW w:w="2303" w:type="dxa"/>
            <w:vAlign w:val="center"/>
          </w:tcPr>
          <w:p w:rsidR="0014093B" w:rsidRDefault="0014093B" w:rsidP="00E07432">
            <w:pPr>
              <w:pStyle w:val="azkladntext"/>
              <w:spacing w:before="0" w:line="240" w:lineRule="auto"/>
              <w:ind w:firstLine="0"/>
              <w:jc w:val="left"/>
            </w:pPr>
            <w:proofErr w:type="spellStart"/>
            <w:r>
              <w:t>Safania-Khafji</w:t>
            </w:r>
            <w:proofErr w:type="spellEnd"/>
          </w:p>
        </w:tc>
        <w:tc>
          <w:tcPr>
            <w:tcW w:w="2303" w:type="dxa"/>
            <w:vAlign w:val="center"/>
          </w:tcPr>
          <w:p w:rsidR="0014093B" w:rsidRDefault="0014093B" w:rsidP="00E07432">
            <w:pPr>
              <w:pStyle w:val="azkladntext"/>
              <w:spacing w:before="0" w:line="240" w:lineRule="auto"/>
              <w:ind w:firstLine="0"/>
              <w:jc w:val="left"/>
            </w:pPr>
            <w:r>
              <w:t>Saudská Arábie</w:t>
            </w:r>
          </w:p>
        </w:tc>
        <w:tc>
          <w:tcPr>
            <w:tcW w:w="1802" w:type="dxa"/>
            <w:vAlign w:val="center"/>
          </w:tcPr>
          <w:p w:rsidR="0014093B" w:rsidRDefault="0014093B" w:rsidP="00E07432">
            <w:pPr>
              <w:pStyle w:val="azkladntext"/>
              <w:spacing w:before="0" w:line="240" w:lineRule="auto"/>
              <w:ind w:firstLine="0"/>
              <w:jc w:val="center"/>
            </w:pPr>
            <w:r>
              <w:t>30</w:t>
            </w:r>
          </w:p>
        </w:tc>
        <w:tc>
          <w:tcPr>
            <w:tcW w:w="1170" w:type="dxa"/>
            <w:vAlign w:val="center"/>
          </w:tcPr>
          <w:p w:rsidR="0014093B" w:rsidRPr="00E07432" w:rsidRDefault="0014093B" w:rsidP="00E07432">
            <w:pPr>
              <w:pStyle w:val="azkladntext"/>
              <w:spacing w:before="0" w:line="240" w:lineRule="auto"/>
              <w:ind w:firstLine="0"/>
              <w:jc w:val="center"/>
              <w:rPr>
                <w:rFonts w:cs="Arial"/>
                <w:sz w:val="28"/>
                <w:szCs w:val="28"/>
              </w:rPr>
            </w:pPr>
            <w:r w:rsidRPr="00E07432">
              <w:rPr>
                <w:rFonts w:cs="Arial"/>
                <w:sz w:val="28"/>
                <w:szCs w:val="28"/>
              </w:rPr>
              <w:sym w:font="Wingdings" w:char="F0F0"/>
            </w:r>
          </w:p>
        </w:tc>
      </w:tr>
      <w:tr w:rsidR="0014093B" w:rsidTr="00E07432">
        <w:trPr>
          <w:trHeight w:val="284"/>
          <w:jc w:val="center"/>
        </w:trPr>
        <w:tc>
          <w:tcPr>
            <w:tcW w:w="2303" w:type="dxa"/>
            <w:vAlign w:val="center"/>
          </w:tcPr>
          <w:p w:rsidR="0014093B" w:rsidRDefault="0014093B" w:rsidP="00E07432">
            <w:pPr>
              <w:pStyle w:val="azkladntext"/>
              <w:spacing w:before="0" w:line="240" w:lineRule="auto"/>
              <w:ind w:firstLine="0"/>
              <w:jc w:val="left"/>
            </w:pPr>
            <w:proofErr w:type="spellStart"/>
            <w:r>
              <w:t>Rumailia</w:t>
            </w:r>
            <w:proofErr w:type="spellEnd"/>
          </w:p>
        </w:tc>
        <w:tc>
          <w:tcPr>
            <w:tcW w:w="2303" w:type="dxa"/>
            <w:vAlign w:val="center"/>
          </w:tcPr>
          <w:p w:rsidR="0014093B" w:rsidRDefault="0014093B" w:rsidP="00E07432">
            <w:pPr>
              <w:pStyle w:val="azkladntext"/>
              <w:spacing w:before="0" w:line="240" w:lineRule="auto"/>
              <w:ind w:firstLine="0"/>
              <w:jc w:val="left"/>
            </w:pPr>
            <w:r>
              <w:t>Irák</w:t>
            </w:r>
          </w:p>
        </w:tc>
        <w:tc>
          <w:tcPr>
            <w:tcW w:w="1802" w:type="dxa"/>
            <w:vAlign w:val="center"/>
          </w:tcPr>
          <w:p w:rsidR="0014093B" w:rsidRDefault="0014093B" w:rsidP="00E07432">
            <w:pPr>
              <w:pStyle w:val="azkladntext"/>
              <w:spacing w:before="0" w:line="240" w:lineRule="auto"/>
              <w:ind w:firstLine="0"/>
              <w:jc w:val="center"/>
            </w:pPr>
            <w:r>
              <w:t>20</w:t>
            </w:r>
          </w:p>
        </w:tc>
        <w:tc>
          <w:tcPr>
            <w:tcW w:w="1170" w:type="dxa"/>
            <w:vAlign w:val="center"/>
          </w:tcPr>
          <w:p w:rsidR="0014093B" w:rsidRPr="00E07432" w:rsidRDefault="0014093B" w:rsidP="00E07432">
            <w:pPr>
              <w:pStyle w:val="azkladntext"/>
              <w:spacing w:before="0" w:line="240" w:lineRule="auto"/>
              <w:ind w:firstLine="0"/>
              <w:jc w:val="center"/>
              <w:rPr>
                <w:rFonts w:cs="Arial"/>
                <w:sz w:val="28"/>
                <w:szCs w:val="28"/>
              </w:rPr>
            </w:pPr>
            <w:r w:rsidRPr="00E07432">
              <w:rPr>
                <w:rFonts w:cs="Arial"/>
                <w:sz w:val="28"/>
                <w:szCs w:val="28"/>
              </w:rPr>
              <w:sym w:font="Wingdings" w:char="F0F0"/>
            </w:r>
          </w:p>
        </w:tc>
      </w:tr>
      <w:tr w:rsidR="0014093B" w:rsidTr="00E07432">
        <w:trPr>
          <w:trHeight w:val="284"/>
          <w:jc w:val="center"/>
        </w:trPr>
        <w:tc>
          <w:tcPr>
            <w:tcW w:w="2303" w:type="dxa"/>
            <w:vAlign w:val="center"/>
          </w:tcPr>
          <w:p w:rsidR="0014093B" w:rsidRDefault="0014093B" w:rsidP="00E07432">
            <w:pPr>
              <w:pStyle w:val="azkladntext"/>
              <w:spacing w:before="0" w:line="240" w:lineRule="auto"/>
              <w:ind w:firstLine="0"/>
              <w:jc w:val="left"/>
            </w:pPr>
            <w:proofErr w:type="spellStart"/>
            <w:r>
              <w:t>Tengiz</w:t>
            </w:r>
            <w:proofErr w:type="spellEnd"/>
          </w:p>
        </w:tc>
        <w:tc>
          <w:tcPr>
            <w:tcW w:w="2303" w:type="dxa"/>
            <w:vAlign w:val="center"/>
          </w:tcPr>
          <w:p w:rsidR="0014093B" w:rsidRDefault="0014093B" w:rsidP="00E07432">
            <w:pPr>
              <w:pStyle w:val="azkladntext"/>
              <w:spacing w:before="0" w:line="240" w:lineRule="auto"/>
              <w:ind w:firstLine="0"/>
              <w:jc w:val="left"/>
            </w:pPr>
            <w:r>
              <w:t>Kazachstán</w:t>
            </w:r>
          </w:p>
        </w:tc>
        <w:tc>
          <w:tcPr>
            <w:tcW w:w="1802" w:type="dxa"/>
            <w:vAlign w:val="center"/>
          </w:tcPr>
          <w:p w:rsidR="0014093B" w:rsidRDefault="0014093B" w:rsidP="00E07432">
            <w:pPr>
              <w:pStyle w:val="azkladntext"/>
              <w:spacing w:before="0" w:line="240" w:lineRule="auto"/>
              <w:ind w:firstLine="0"/>
              <w:jc w:val="center"/>
            </w:pPr>
            <w:r>
              <w:t>15-26</w:t>
            </w:r>
          </w:p>
        </w:tc>
        <w:tc>
          <w:tcPr>
            <w:tcW w:w="1170" w:type="dxa"/>
            <w:vAlign w:val="center"/>
          </w:tcPr>
          <w:p w:rsidR="0014093B" w:rsidRPr="00E07432" w:rsidRDefault="0014093B" w:rsidP="00E07432">
            <w:pPr>
              <w:pStyle w:val="azkladntext"/>
              <w:spacing w:before="0" w:line="240" w:lineRule="auto"/>
              <w:ind w:firstLine="0"/>
              <w:jc w:val="center"/>
              <w:rPr>
                <w:rFonts w:cs="Arial"/>
                <w:sz w:val="28"/>
                <w:szCs w:val="28"/>
              </w:rPr>
            </w:pPr>
            <w:r w:rsidRPr="00E07432">
              <w:rPr>
                <w:rFonts w:cs="Arial"/>
                <w:sz w:val="28"/>
                <w:szCs w:val="28"/>
              </w:rPr>
              <w:sym w:font="Wingdings" w:char="F0F1"/>
            </w:r>
          </w:p>
        </w:tc>
      </w:tr>
    </w:tbl>
    <w:p w:rsidR="009166A9" w:rsidRDefault="009166A9" w:rsidP="0014093B">
      <w:pPr>
        <w:pStyle w:val="azkltext-sted"/>
      </w:pPr>
    </w:p>
    <w:p w:rsidR="008E7E32" w:rsidRDefault="0011437B" w:rsidP="001D6B93">
      <w:pPr>
        <w:pStyle w:val="azkltext-sted"/>
        <w:tabs>
          <w:tab w:val="clear" w:pos="709"/>
          <w:tab w:val="left" w:pos="1105"/>
        </w:tabs>
        <w:jc w:val="left"/>
      </w:pPr>
      <w:r>
        <w:t>Přehled světových zásob ropy je znázorněn na následujícím obrázku</w:t>
      </w:r>
    </w:p>
    <w:tbl>
      <w:tblPr>
        <w:tblW w:w="0" w:type="auto"/>
        <w:jc w:val="center"/>
        <w:tblLook w:val="01E0" w:firstRow="1" w:lastRow="1" w:firstColumn="1" w:lastColumn="1" w:noHBand="0" w:noVBand="0"/>
      </w:tblPr>
      <w:tblGrid>
        <w:gridCol w:w="8120"/>
      </w:tblGrid>
      <w:tr w:rsidR="0014093B" w:rsidTr="001D6B93">
        <w:trPr>
          <w:trHeight w:val="4424"/>
          <w:jc w:val="center"/>
        </w:trPr>
        <w:tc>
          <w:tcPr>
            <w:tcW w:w="8120" w:type="dxa"/>
          </w:tcPr>
          <w:p w:rsidR="0014093B" w:rsidRDefault="0039076E" w:rsidP="00E07432">
            <w:pPr>
              <w:pStyle w:val="azkladntext"/>
              <w:ind w:firstLine="0"/>
            </w:pPr>
            <w:r w:rsidRPr="006834AD">
              <w:rPr>
                <w:noProof/>
              </w:rPr>
              <w:drawing>
                <wp:inline distT="0" distB="0" distL="0" distR="0">
                  <wp:extent cx="5016500" cy="3670300"/>
                  <wp:effectExtent l="0" t="0" r="0" b="0"/>
                  <wp:docPr id="16" name="obrázek 16"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z názv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6500" cy="3670300"/>
                          </a:xfrm>
                          <a:prstGeom prst="rect">
                            <a:avLst/>
                          </a:prstGeom>
                          <a:noFill/>
                          <a:ln>
                            <a:noFill/>
                          </a:ln>
                        </pic:spPr>
                      </pic:pic>
                    </a:graphicData>
                  </a:graphic>
                </wp:inline>
              </w:drawing>
            </w:r>
          </w:p>
          <w:p w:rsidR="00DB3107" w:rsidRPr="00E07432" w:rsidRDefault="00DB3107" w:rsidP="00E07432">
            <w:pPr>
              <w:pStyle w:val="azkladntext"/>
              <w:ind w:firstLine="0"/>
              <w:rPr>
                <w:i/>
                <w:sz w:val="20"/>
              </w:rPr>
            </w:pPr>
            <w:r w:rsidRPr="00E07432">
              <w:rPr>
                <w:i/>
                <w:sz w:val="20"/>
              </w:rPr>
              <w:t>Zdroj: BP statistical_review_of_world_energy_full_report_2009</w:t>
            </w:r>
          </w:p>
        </w:tc>
      </w:tr>
    </w:tbl>
    <w:p w:rsidR="0014093B" w:rsidRDefault="0014093B" w:rsidP="001E0AE4">
      <w:pPr>
        <w:pStyle w:val="azkltext-sted"/>
      </w:pPr>
      <w:r>
        <w:t xml:space="preserve">Obrázek </w:t>
      </w:r>
      <w:fldSimple w:instr=" SEQ Obrázek \* ARABIC ">
        <w:r w:rsidR="00D46360">
          <w:rPr>
            <w:noProof/>
          </w:rPr>
          <w:t>4</w:t>
        </w:r>
      </w:fldSimple>
      <w:r>
        <w:t xml:space="preserve"> Přehled světových zásob ropy v roce 2007</w:t>
      </w:r>
      <w:sdt>
        <w:sdtPr>
          <w:id w:val="791561801"/>
          <w:citation/>
        </w:sdtPr>
        <w:sdtContent>
          <w:r w:rsidR="0011437B">
            <w:fldChar w:fldCharType="begin"/>
          </w:r>
          <w:r w:rsidR="0011437B">
            <w:instrText xml:space="preserve"> CITATION Roopa \l 1029 </w:instrText>
          </w:r>
          <w:r w:rsidR="0011437B">
            <w:fldChar w:fldCharType="separate"/>
          </w:r>
          <w:r w:rsidR="0011437B">
            <w:rPr>
              <w:noProof/>
            </w:rPr>
            <w:t xml:space="preserve"> [3]</w:t>
          </w:r>
          <w:r w:rsidR="0011437B">
            <w:fldChar w:fldCharType="end"/>
          </w:r>
        </w:sdtContent>
      </w:sdt>
    </w:p>
    <w:p w:rsidR="0011437B" w:rsidRDefault="0011437B" w:rsidP="001E0AE4">
      <w:pPr>
        <w:pStyle w:val="azkltext-sted"/>
      </w:pPr>
    </w:p>
    <w:p w:rsidR="0014093B" w:rsidRPr="005D00CB" w:rsidRDefault="001E0AE4" w:rsidP="0014093B">
      <w:pPr>
        <w:pStyle w:val="azkladntext"/>
      </w:pPr>
      <w:r>
        <w:lastRenderedPageBreak/>
        <w:t>Tabulka 2 Největší světové ropné společnosti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1849"/>
        <w:gridCol w:w="1701"/>
        <w:gridCol w:w="709"/>
        <w:gridCol w:w="1134"/>
        <w:gridCol w:w="1276"/>
        <w:gridCol w:w="850"/>
      </w:tblGrid>
      <w:tr w:rsidR="0014093B" w:rsidRPr="0011437B" w:rsidTr="0011437B">
        <w:tc>
          <w:tcPr>
            <w:tcW w:w="648"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Pořadí</w:t>
            </w:r>
          </w:p>
        </w:tc>
        <w:tc>
          <w:tcPr>
            <w:tcW w:w="900"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PIW index</w:t>
            </w:r>
          </w:p>
        </w:tc>
        <w:tc>
          <w:tcPr>
            <w:tcW w:w="1849"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Společnost</w:t>
            </w:r>
          </w:p>
        </w:tc>
        <w:tc>
          <w:tcPr>
            <w:tcW w:w="1701"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Stát</w:t>
            </w:r>
          </w:p>
        </w:tc>
        <w:tc>
          <w:tcPr>
            <w:tcW w:w="709"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Podíl státu (%)</w:t>
            </w:r>
          </w:p>
        </w:tc>
        <w:tc>
          <w:tcPr>
            <w:tcW w:w="1134"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Zásoby ropy</w:t>
            </w:r>
          </w:p>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(mld. b/den)</w:t>
            </w:r>
          </w:p>
        </w:tc>
        <w:tc>
          <w:tcPr>
            <w:tcW w:w="1276"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Produkce ropy</w:t>
            </w:r>
          </w:p>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(mld. b/den)</w:t>
            </w:r>
          </w:p>
        </w:tc>
        <w:tc>
          <w:tcPr>
            <w:tcW w:w="850" w:type="dxa"/>
            <w:vAlign w:val="center"/>
          </w:tcPr>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Tržba</w:t>
            </w:r>
          </w:p>
          <w:p w:rsidR="0014093B" w:rsidRPr="0011437B" w:rsidRDefault="0014093B" w:rsidP="00E07432">
            <w:pPr>
              <w:pStyle w:val="azkladntext"/>
              <w:spacing w:before="0" w:line="240" w:lineRule="auto"/>
              <w:ind w:left="-57" w:firstLine="0"/>
              <w:jc w:val="center"/>
              <w:rPr>
                <w:rFonts w:ascii="Times New Roman" w:hAnsi="Times New Roman"/>
                <w:sz w:val="22"/>
                <w:szCs w:val="22"/>
              </w:rPr>
            </w:pPr>
            <w:r w:rsidRPr="0011437B">
              <w:rPr>
                <w:rFonts w:ascii="Times New Roman" w:hAnsi="Times New Roman"/>
                <w:sz w:val="22"/>
                <w:szCs w:val="22"/>
              </w:rPr>
              <w:t>(</w:t>
            </w:r>
            <w:proofErr w:type="spellStart"/>
            <w:r w:rsidRPr="0011437B">
              <w:rPr>
                <w:rFonts w:ascii="Times New Roman" w:hAnsi="Times New Roman"/>
                <w:sz w:val="22"/>
                <w:szCs w:val="22"/>
              </w:rPr>
              <w:t>mld</w:t>
            </w:r>
            <w:proofErr w:type="spellEnd"/>
            <w:r w:rsidRPr="0011437B">
              <w:rPr>
                <w:rFonts w:ascii="Times New Roman" w:hAnsi="Times New Roman"/>
                <w:sz w:val="22"/>
                <w:szCs w:val="22"/>
              </w:rPr>
              <w:t xml:space="preserve"> USD)</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28</w:t>
            </w:r>
          </w:p>
        </w:tc>
        <w:tc>
          <w:tcPr>
            <w:tcW w:w="1849"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Saudi</w:t>
            </w:r>
            <w:proofErr w:type="spellEnd"/>
            <w:r w:rsidRPr="0011437B">
              <w:rPr>
                <w:rFonts w:ascii="Times New Roman" w:hAnsi="Times New Roman"/>
                <w:sz w:val="22"/>
                <w:szCs w:val="22"/>
              </w:rPr>
              <w:t xml:space="preserve"> </w:t>
            </w:r>
            <w:proofErr w:type="spellStart"/>
            <w:r w:rsidRPr="0011437B">
              <w:rPr>
                <w:rFonts w:ascii="Times New Roman" w:hAnsi="Times New Roman"/>
                <w:sz w:val="22"/>
                <w:szCs w:val="22"/>
              </w:rPr>
              <w:t>Aramco</w:t>
            </w:r>
            <w:proofErr w:type="spellEnd"/>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Saudská Arábie</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100</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259</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9,0</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93</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34</w:t>
            </w:r>
          </w:p>
        </w:tc>
        <w:tc>
          <w:tcPr>
            <w:tcW w:w="1849"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ExxonMobil</w:t>
            </w:r>
            <w:proofErr w:type="spellEnd"/>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USA</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13</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2,5</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223</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36</w:t>
            </w:r>
          </w:p>
        </w:tc>
        <w:tc>
          <w:tcPr>
            <w:tcW w:w="1849"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NIOC</w:t>
            </w:r>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Írán</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100</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126</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3,9</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29</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40</w:t>
            </w:r>
          </w:p>
        </w:tc>
        <w:tc>
          <w:tcPr>
            <w:tcW w:w="1849"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PDV</w:t>
            </w:r>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Venezuela</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100</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78</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2,5</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45</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51</w:t>
            </w:r>
          </w:p>
        </w:tc>
        <w:tc>
          <w:tcPr>
            <w:tcW w:w="1849"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BP</w:t>
            </w:r>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Británie</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10</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2,1</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236</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51</w:t>
            </w:r>
          </w:p>
        </w:tc>
        <w:tc>
          <w:tcPr>
            <w:tcW w:w="1849"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Royal</w:t>
            </w:r>
            <w:proofErr w:type="spellEnd"/>
            <w:r w:rsidRPr="0011437B">
              <w:rPr>
                <w:rFonts w:ascii="Times New Roman" w:hAnsi="Times New Roman"/>
                <w:sz w:val="22"/>
                <w:szCs w:val="22"/>
              </w:rPr>
              <w:t xml:space="preserve"> </w:t>
            </w:r>
            <w:proofErr w:type="spellStart"/>
            <w:r w:rsidRPr="0011437B">
              <w:rPr>
                <w:rFonts w:ascii="Times New Roman" w:hAnsi="Times New Roman"/>
                <w:sz w:val="22"/>
                <w:szCs w:val="22"/>
              </w:rPr>
              <w:t>Dutch</w:t>
            </w:r>
            <w:proofErr w:type="spellEnd"/>
            <w:r w:rsidRPr="0011437B">
              <w:rPr>
                <w:rFonts w:ascii="Times New Roman" w:hAnsi="Times New Roman"/>
                <w:sz w:val="22"/>
                <w:szCs w:val="22"/>
              </w:rPr>
              <w:t>/Shell</w:t>
            </w:r>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VB a NL</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7</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2,3</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205</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74</w:t>
            </w:r>
          </w:p>
        </w:tc>
        <w:tc>
          <w:tcPr>
            <w:tcW w:w="1849"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ChevronTexaco</w:t>
            </w:r>
            <w:proofErr w:type="spellEnd"/>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USA</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8</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1,8</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114</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75</w:t>
            </w:r>
          </w:p>
        </w:tc>
        <w:tc>
          <w:tcPr>
            <w:tcW w:w="1849"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Total</w:t>
            </w:r>
            <w:proofErr w:type="spellEnd"/>
          </w:p>
        </w:tc>
        <w:tc>
          <w:tcPr>
            <w:tcW w:w="1701"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Francie</w:t>
            </w:r>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7</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1,7</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119</w:t>
            </w:r>
          </w:p>
        </w:tc>
      </w:tr>
      <w:tr w:rsidR="0014093B" w:rsidRPr="0011437B" w:rsidTr="0011437B">
        <w:tc>
          <w:tcPr>
            <w:tcW w:w="648" w:type="dxa"/>
          </w:tcPr>
          <w:p w:rsidR="0014093B" w:rsidRPr="0011437B" w:rsidRDefault="0014093B" w:rsidP="00E07432">
            <w:pPr>
              <w:pStyle w:val="azkladntext"/>
              <w:numPr>
                <w:ilvl w:val="0"/>
                <w:numId w:val="31"/>
              </w:numPr>
              <w:tabs>
                <w:tab w:val="clear" w:pos="720"/>
                <w:tab w:val="num" w:pos="360"/>
              </w:tabs>
              <w:ind w:left="360"/>
              <w:rPr>
                <w:rFonts w:ascii="Times New Roman" w:hAnsi="Times New Roman"/>
                <w:sz w:val="22"/>
                <w:szCs w:val="22"/>
              </w:rPr>
            </w:pPr>
          </w:p>
        </w:tc>
        <w:tc>
          <w:tcPr>
            <w:tcW w:w="900" w:type="dxa"/>
          </w:tcPr>
          <w:p w:rsidR="0014093B" w:rsidRPr="0011437B" w:rsidRDefault="0014093B" w:rsidP="00E07432">
            <w:pPr>
              <w:pStyle w:val="azkladntext"/>
              <w:ind w:firstLine="0"/>
              <w:rPr>
                <w:rFonts w:ascii="Times New Roman" w:hAnsi="Times New Roman"/>
                <w:sz w:val="22"/>
                <w:szCs w:val="22"/>
              </w:rPr>
            </w:pPr>
            <w:r w:rsidRPr="0011437B">
              <w:rPr>
                <w:rFonts w:ascii="Times New Roman" w:hAnsi="Times New Roman"/>
                <w:sz w:val="22"/>
                <w:szCs w:val="22"/>
              </w:rPr>
              <w:t>80</w:t>
            </w:r>
          </w:p>
        </w:tc>
        <w:tc>
          <w:tcPr>
            <w:tcW w:w="1849"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Pemex</w:t>
            </w:r>
            <w:proofErr w:type="spellEnd"/>
          </w:p>
        </w:tc>
        <w:tc>
          <w:tcPr>
            <w:tcW w:w="1701" w:type="dxa"/>
          </w:tcPr>
          <w:p w:rsidR="0014093B" w:rsidRPr="0011437B" w:rsidRDefault="0014093B" w:rsidP="00E07432">
            <w:pPr>
              <w:pStyle w:val="azkladntext"/>
              <w:ind w:firstLine="0"/>
              <w:rPr>
                <w:rFonts w:ascii="Times New Roman" w:hAnsi="Times New Roman"/>
                <w:sz w:val="22"/>
                <w:szCs w:val="22"/>
              </w:rPr>
            </w:pPr>
            <w:proofErr w:type="spellStart"/>
            <w:r w:rsidRPr="0011437B">
              <w:rPr>
                <w:rFonts w:ascii="Times New Roman" w:hAnsi="Times New Roman"/>
                <w:sz w:val="22"/>
                <w:szCs w:val="22"/>
              </w:rPr>
              <w:t>Mexico</w:t>
            </w:r>
            <w:proofErr w:type="spellEnd"/>
          </w:p>
        </w:tc>
        <w:tc>
          <w:tcPr>
            <w:tcW w:w="709" w:type="dxa"/>
          </w:tcPr>
          <w:p w:rsidR="0014093B" w:rsidRPr="0011437B" w:rsidRDefault="0014093B" w:rsidP="00E07432">
            <w:pPr>
              <w:pStyle w:val="azkladntext"/>
              <w:ind w:firstLine="0"/>
              <w:jc w:val="center"/>
              <w:rPr>
                <w:rFonts w:ascii="Times New Roman" w:hAnsi="Times New Roman"/>
                <w:sz w:val="22"/>
                <w:szCs w:val="22"/>
              </w:rPr>
            </w:pPr>
            <w:r w:rsidRPr="0011437B">
              <w:rPr>
                <w:rFonts w:ascii="Times New Roman" w:hAnsi="Times New Roman"/>
                <w:sz w:val="22"/>
                <w:szCs w:val="22"/>
              </w:rPr>
              <w:t>100</w:t>
            </w:r>
          </w:p>
        </w:tc>
        <w:tc>
          <w:tcPr>
            <w:tcW w:w="1134"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16</w:t>
            </w:r>
          </w:p>
        </w:tc>
        <w:tc>
          <w:tcPr>
            <w:tcW w:w="1276" w:type="dxa"/>
            <w:vAlign w:val="center"/>
          </w:tcPr>
          <w:p w:rsidR="0014093B" w:rsidRPr="0011437B" w:rsidRDefault="0014093B" w:rsidP="00E07432">
            <w:pPr>
              <w:pStyle w:val="azkladntext"/>
              <w:tabs>
                <w:tab w:val="clear" w:pos="709"/>
              </w:tabs>
              <w:ind w:right="284" w:firstLine="0"/>
              <w:jc w:val="right"/>
              <w:rPr>
                <w:rFonts w:ascii="Times New Roman" w:hAnsi="Times New Roman"/>
                <w:sz w:val="22"/>
                <w:szCs w:val="22"/>
              </w:rPr>
            </w:pPr>
            <w:r w:rsidRPr="0011437B">
              <w:rPr>
                <w:rFonts w:ascii="Times New Roman" w:hAnsi="Times New Roman"/>
                <w:sz w:val="22"/>
                <w:szCs w:val="22"/>
              </w:rPr>
              <w:t>3,7</w:t>
            </w:r>
          </w:p>
        </w:tc>
        <w:tc>
          <w:tcPr>
            <w:tcW w:w="850" w:type="dxa"/>
            <w:vAlign w:val="center"/>
          </w:tcPr>
          <w:p w:rsidR="0014093B" w:rsidRPr="0011437B" w:rsidRDefault="0014093B" w:rsidP="00E07432">
            <w:pPr>
              <w:pStyle w:val="azkladntext"/>
              <w:tabs>
                <w:tab w:val="clear" w:pos="709"/>
              </w:tabs>
              <w:ind w:right="170" w:firstLine="0"/>
              <w:jc w:val="right"/>
              <w:rPr>
                <w:rFonts w:ascii="Times New Roman" w:hAnsi="Times New Roman"/>
                <w:sz w:val="22"/>
                <w:szCs w:val="22"/>
              </w:rPr>
            </w:pPr>
            <w:r w:rsidRPr="0011437B">
              <w:rPr>
                <w:rFonts w:ascii="Times New Roman" w:hAnsi="Times New Roman"/>
                <w:sz w:val="22"/>
                <w:szCs w:val="22"/>
              </w:rPr>
              <w:t>56</w:t>
            </w:r>
          </w:p>
        </w:tc>
      </w:tr>
    </w:tbl>
    <w:p w:rsidR="0014093B" w:rsidRDefault="0014093B" w:rsidP="0014093B">
      <w:pPr>
        <w:pStyle w:val="M-2"/>
      </w:pPr>
    </w:p>
    <w:p w:rsidR="0014093B" w:rsidRDefault="0014093B" w:rsidP="0014093B">
      <w:pPr>
        <w:pStyle w:val="azkladntext"/>
        <w:ind w:firstLine="0"/>
      </w:pPr>
    </w:p>
    <w:p w:rsidR="00DC69D6" w:rsidRDefault="00DC69D6" w:rsidP="001057A7">
      <w:pPr>
        <w:pStyle w:val="Nadpis3"/>
      </w:pPr>
      <w:bookmarkStart w:id="5" w:name="_Ropný_vrchol"/>
      <w:bookmarkEnd w:id="5"/>
      <w:r>
        <w:t>Ropný vrchol</w:t>
      </w:r>
    </w:p>
    <w:p w:rsidR="00DC69D6" w:rsidRDefault="00DC69D6" w:rsidP="00DC69D6">
      <w:pPr>
        <w:pStyle w:val="azkladntext"/>
      </w:pPr>
      <w:r>
        <w:t>Potřebu řešení důsledků ropného vrcholu provedla, n</w:t>
      </w:r>
      <w:r w:rsidRPr="005D00CB">
        <w:t>a objednávku amerického ministerstva energetiky</w:t>
      </w:r>
      <w:r>
        <w:t>,</w:t>
      </w:r>
      <w:r w:rsidRPr="005D00CB">
        <w:t xml:space="preserve"> firma Science </w:t>
      </w:r>
      <w:proofErr w:type="spellStart"/>
      <w:r w:rsidRPr="005D00CB">
        <w:t>Applications</w:t>
      </w:r>
      <w:proofErr w:type="spellEnd"/>
      <w:r w:rsidRPr="005D00CB">
        <w:t xml:space="preserve"> International </w:t>
      </w:r>
      <w:proofErr w:type="spellStart"/>
      <w:r w:rsidRPr="005D00CB">
        <w:t>Corporation</w:t>
      </w:r>
      <w:proofErr w:type="spellEnd"/>
      <w:r w:rsidRPr="005D00CB">
        <w:t xml:space="preserve"> (SAIC) rozsáhlou analýzu</w:t>
      </w:r>
      <w:r>
        <w:t xml:space="preserve"> jejíž výsledky deklarovala v závěrečné zprávě</w:t>
      </w:r>
      <w:r w:rsidRPr="005D00CB">
        <w:t xml:space="preserve"> </w:t>
      </w:r>
      <w:proofErr w:type="spellStart"/>
      <w:r w:rsidRPr="005D00CB">
        <w:t>The</w:t>
      </w:r>
      <w:proofErr w:type="spellEnd"/>
      <w:r w:rsidRPr="005D00CB">
        <w:t xml:space="preserve"> </w:t>
      </w:r>
      <w:proofErr w:type="spellStart"/>
      <w:r w:rsidRPr="005D00CB">
        <w:t>Peaking</w:t>
      </w:r>
      <w:proofErr w:type="spellEnd"/>
      <w:r w:rsidRPr="005D00CB">
        <w:t xml:space="preserve"> </w:t>
      </w:r>
      <w:proofErr w:type="spellStart"/>
      <w:r w:rsidRPr="005D00CB">
        <w:t>of</w:t>
      </w:r>
      <w:proofErr w:type="spellEnd"/>
      <w:r w:rsidRPr="005D00CB">
        <w:t xml:space="preserve"> </w:t>
      </w:r>
      <w:proofErr w:type="spellStart"/>
      <w:r w:rsidRPr="005D00CB">
        <w:t>World</w:t>
      </w:r>
      <w:proofErr w:type="spellEnd"/>
      <w:r w:rsidRPr="005D00CB">
        <w:t xml:space="preserve"> </w:t>
      </w:r>
      <w:proofErr w:type="spellStart"/>
      <w:r w:rsidRPr="005D00CB">
        <w:t>Oil</w:t>
      </w:r>
      <w:proofErr w:type="spellEnd"/>
      <w:r w:rsidRPr="005D00CB">
        <w:t xml:space="preserve"> </w:t>
      </w:r>
      <w:proofErr w:type="spellStart"/>
      <w:r w:rsidRPr="005D00CB">
        <w:t>Production</w:t>
      </w:r>
      <w:proofErr w:type="spellEnd"/>
      <w:r w:rsidRPr="005D00CB">
        <w:t xml:space="preserve">: </w:t>
      </w:r>
      <w:proofErr w:type="spellStart"/>
      <w:r w:rsidRPr="005D00CB">
        <w:t>Impacts</w:t>
      </w:r>
      <w:proofErr w:type="spellEnd"/>
      <w:r w:rsidRPr="005D00CB">
        <w:t xml:space="preserve">, </w:t>
      </w:r>
      <w:proofErr w:type="spellStart"/>
      <w:r w:rsidRPr="005D00CB">
        <w:t>Mitigation</w:t>
      </w:r>
      <w:proofErr w:type="spellEnd"/>
      <w:r w:rsidRPr="005D00CB">
        <w:t xml:space="preserve"> &amp; Risk Management (Vrchol světové produkce ropy: Dopady, zmírnění a rizikové řízení)</w:t>
      </w:r>
      <w:r>
        <w:t>.</w:t>
      </w:r>
    </w:p>
    <w:p w:rsidR="00DC69D6" w:rsidRDefault="00DC69D6" w:rsidP="00DC69D6">
      <w:pPr>
        <w:pStyle w:val="azkladntext"/>
      </w:pPr>
      <w:r>
        <w:t>Její závěry lze stručně shrnout takto:</w:t>
      </w:r>
    </w:p>
    <w:p w:rsidR="00DC69D6" w:rsidRDefault="00DC69D6" w:rsidP="00007A8D">
      <w:pPr>
        <w:pStyle w:val="Odrky"/>
        <w:tabs>
          <w:tab w:val="clear" w:pos="851"/>
          <w:tab w:val="clear" w:pos="1191"/>
          <w:tab w:val="clear" w:pos="1418"/>
          <w:tab w:val="left" w:pos="1134"/>
        </w:tabs>
        <w:spacing w:after="120"/>
        <w:ind w:left="1134" w:hanging="425"/>
      </w:pPr>
      <w:r>
        <w:t xml:space="preserve">Ropný zlom se dostaví s jistotou, není však jasné, kdy. Někteří odborníci tvrdí, že to bude brzy. </w:t>
      </w:r>
    </w:p>
    <w:p w:rsidR="00DC69D6" w:rsidRDefault="00DC69D6" w:rsidP="00007A8D">
      <w:pPr>
        <w:pStyle w:val="Odrky"/>
        <w:tabs>
          <w:tab w:val="clear" w:pos="851"/>
          <w:tab w:val="clear" w:pos="1191"/>
          <w:tab w:val="clear" w:pos="1418"/>
          <w:tab w:val="left" w:pos="1134"/>
        </w:tabs>
        <w:spacing w:after="120"/>
        <w:ind w:left="1134" w:hanging="425"/>
      </w:pPr>
      <w:r>
        <w:t xml:space="preserve">Problémy spojené s ropným zlomem nebudou krátkodobé a zkušenosti z předchozí „energetické krize“ jsou pro jejich řešení nepoužitelné. Ropný zlom vyžaduje okamžitou a vážnou pozornost, jestliže rizika mají být správně pochopena a opatření přijata včas. </w:t>
      </w:r>
    </w:p>
    <w:p w:rsidR="00DC69D6" w:rsidRDefault="00DC69D6" w:rsidP="00007A8D">
      <w:pPr>
        <w:pStyle w:val="Odrky"/>
        <w:tabs>
          <w:tab w:val="clear" w:pos="851"/>
          <w:tab w:val="clear" w:pos="1191"/>
          <w:tab w:val="clear" w:pos="1418"/>
          <w:tab w:val="left" w:pos="1134"/>
        </w:tabs>
        <w:spacing w:after="120"/>
        <w:ind w:left="1134" w:hanging="425"/>
      </w:pPr>
      <w:r>
        <w:t xml:space="preserve">Ropný zlom způsobí závažné problémy s dodávkami kapalných paliv pro dopravu. </w:t>
      </w:r>
    </w:p>
    <w:p w:rsidR="00DC69D6" w:rsidRDefault="00DC69D6" w:rsidP="00007A8D">
      <w:pPr>
        <w:pStyle w:val="Odrky"/>
        <w:tabs>
          <w:tab w:val="clear" w:pos="851"/>
          <w:tab w:val="clear" w:pos="1191"/>
          <w:tab w:val="clear" w:pos="1418"/>
          <w:tab w:val="left" w:pos="1134"/>
        </w:tabs>
        <w:spacing w:after="120"/>
        <w:ind w:left="1134" w:hanging="425"/>
      </w:pPr>
      <w:r>
        <w:lastRenderedPageBreak/>
        <w:t xml:space="preserve">Ropný zlom dramaticky zvýší ceny ropy, což způsobí ekonomické potíže v celém světě. </w:t>
      </w:r>
    </w:p>
    <w:p w:rsidR="00DC69D6" w:rsidRDefault="00DC69D6" w:rsidP="00007A8D">
      <w:pPr>
        <w:pStyle w:val="Odrky"/>
        <w:tabs>
          <w:tab w:val="clear" w:pos="851"/>
          <w:tab w:val="clear" w:pos="1191"/>
          <w:tab w:val="clear" w:pos="1418"/>
          <w:tab w:val="left" w:pos="1134"/>
        </w:tabs>
        <w:spacing w:after="120"/>
        <w:ind w:left="1134" w:hanging="425"/>
      </w:pPr>
      <w:r>
        <w:t xml:space="preserve">Problémy budou vážné ve vyspělých zemích, v rozvojových zemích mnohem horší. </w:t>
      </w:r>
    </w:p>
    <w:p w:rsidR="00DC69D6" w:rsidRDefault="00DC69D6" w:rsidP="00007A8D">
      <w:pPr>
        <w:pStyle w:val="Odrky"/>
        <w:tabs>
          <w:tab w:val="clear" w:pos="851"/>
          <w:tab w:val="clear" w:pos="1191"/>
          <w:tab w:val="clear" w:pos="1418"/>
          <w:tab w:val="left" w:pos="1134"/>
        </w:tabs>
        <w:spacing w:after="120"/>
        <w:ind w:left="1134" w:hanging="425"/>
      </w:pPr>
      <w:r>
        <w:t xml:space="preserve">Zmírnění krize si vyžádá nejméně deset let intenzivního a nákladného úsilí. </w:t>
      </w:r>
    </w:p>
    <w:p w:rsidR="00DC69D6" w:rsidRDefault="00DC69D6" w:rsidP="00007A8D">
      <w:pPr>
        <w:pStyle w:val="Odrky"/>
        <w:tabs>
          <w:tab w:val="clear" w:pos="851"/>
          <w:tab w:val="clear" w:pos="1191"/>
          <w:tab w:val="clear" w:pos="1418"/>
          <w:tab w:val="left" w:pos="1134"/>
        </w:tabs>
        <w:spacing w:after="120"/>
        <w:ind w:left="1134" w:hanging="425"/>
      </w:pPr>
      <w:r>
        <w:t xml:space="preserve">I když je větší efektivnost spotřeby klasických paliv u koncových spotřebitelů nutná, nebude sama o sobě ani dostatečná ani dost včasná, aby sama problém vyřešila. Množství alternativních technologií výroby masového množství kapalných paliv je nebo brzy bude k dispozici pro komerční využití. </w:t>
      </w:r>
    </w:p>
    <w:p w:rsidR="00DC69D6" w:rsidRDefault="00DC69D6" w:rsidP="00007A8D">
      <w:pPr>
        <w:pStyle w:val="Odrky"/>
        <w:tabs>
          <w:tab w:val="clear" w:pos="851"/>
          <w:tab w:val="clear" w:pos="1191"/>
          <w:tab w:val="clear" w:pos="1418"/>
          <w:tab w:val="left" w:pos="1134"/>
        </w:tabs>
        <w:spacing w:after="120"/>
        <w:ind w:left="1134" w:hanging="425"/>
      </w:pPr>
      <w:r>
        <w:t xml:space="preserve">Zásahy vlád budou nezbytné, jinak ekonomické a sociální dopady ropného zlomu způsobí chaos. </w:t>
      </w:r>
    </w:p>
    <w:p w:rsidR="00DC69D6" w:rsidRDefault="00DC69D6" w:rsidP="00DC69D6">
      <w:pPr>
        <w:pStyle w:val="azkladntext"/>
      </w:pPr>
      <w:r>
        <w:t xml:space="preserve">Zpráva navrhuje řadu konkrétních opatření ke zmírnění očekávané krize. Upozorňuje, že svět nikdy nestál před problémem podobného rozsahu a závažnosti. Konstatuje, že dosavadní změny energetické základny lidstva byly postupné a evoluční, zatímco ropný zlom bude náhlý a revoluční. </w:t>
      </w:r>
    </w:p>
    <w:p w:rsidR="001D6B93" w:rsidRDefault="00DC69D6" w:rsidP="001D6B93">
      <w:pPr>
        <w:pStyle w:val="Nadpis3"/>
      </w:pPr>
      <w:bookmarkStart w:id="6" w:name="_Scénáře_ropného_šoku"/>
      <w:bookmarkEnd w:id="6"/>
      <w:r w:rsidRPr="00C848C1">
        <w:t>Scénáře ropného šoku</w:t>
      </w:r>
    </w:p>
    <w:p w:rsidR="001D6B93" w:rsidRPr="00D02189" w:rsidRDefault="001D6B93" w:rsidP="001D6B93">
      <w:pPr>
        <w:pStyle w:val="azkladntext"/>
        <w:spacing w:before="240"/>
        <w:ind w:firstLine="0"/>
        <w:rPr>
          <w:b/>
          <w:bCs/>
        </w:rPr>
      </w:pPr>
      <w:r>
        <w:rPr>
          <w:b/>
          <w:bCs/>
        </w:rPr>
        <w:tab/>
      </w:r>
      <w:r w:rsidRPr="00DB3107">
        <w:rPr>
          <w:b/>
          <w:bCs/>
        </w:rPr>
        <w:t>Pesimistický scénář</w:t>
      </w:r>
      <w:r>
        <w:rPr>
          <w:b/>
          <w:bCs/>
        </w:rPr>
        <w:t xml:space="preserve"> -  </w:t>
      </w:r>
      <w:r w:rsidRPr="00D02189">
        <w:t>ově</w:t>
      </w:r>
      <w:r>
        <w:t xml:space="preserve">řené světové zásoby 1 000 mld. </w:t>
      </w:r>
      <w:proofErr w:type="spellStart"/>
      <w:r>
        <w:t>bbl</w:t>
      </w:r>
      <w:proofErr w:type="spellEnd"/>
      <w:r>
        <w:t xml:space="preserve">, při současné spotřebě 30 mld. </w:t>
      </w:r>
      <w:proofErr w:type="spellStart"/>
      <w:r>
        <w:t>bbl</w:t>
      </w:r>
      <w:proofErr w:type="spellEnd"/>
      <w:r>
        <w:t xml:space="preserve"> ročně, budou zásoby vyčerpány za 33 let </w:t>
      </w:r>
    </w:p>
    <w:p w:rsidR="001D6B93" w:rsidRDefault="001D6B93" w:rsidP="001D6B93">
      <w:pPr>
        <w:pStyle w:val="azkladntext"/>
        <w:tabs>
          <w:tab w:val="clear" w:pos="709"/>
        </w:tabs>
        <w:spacing w:before="240"/>
        <w:ind w:firstLine="0"/>
      </w:pPr>
      <w:r>
        <w:rPr>
          <w:b/>
          <w:bCs/>
        </w:rPr>
        <w:tab/>
        <w:t>Realistický</w:t>
      </w:r>
      <w:r w:rsidRPr="00DB3107">
        <w:rPr>
          <w:b/>
          <w:bCs/>
        </w:rPr>
        <w:t xml:space="preserve"> scénář</w:t>
      </w:r>
      <w:r>
        <w:rPr>
          <w:b/>
          <w:bCs/>
        </w:rPr>
        <w:t xml:space="preserve"> </w:t>
      </w:r>
      <w:r w:rsidRPr="00D02189">
        <w:t>- dostupné</w:t>
      </w:r>
      <w:r>
        <w:t xml:space="preserve"> zásoby 2 000- 2 200 mld. </w:t>
      </w:r>
      <w:proofErr w:type="spellStart"/>
      <w:r>
        <w:t>bbl</w:t>
      </w:r>
      <w:proofErr w:type="spellEnd"/>
      <w:r>
        <w:t>, což znamená spotřebu za 66 let.</w:t>
      </w:r>
    </w:p>
    <w:p w:rsidR="001D6B93" w:rsidRDefault="001D6B93" w:rsidP="001D6B93">
      <w:pPr>
        <w:pStyle w:val="azkladntext"/>
        <w:tabs>
          <w:tab w:val="clear" w:pos="709"/>
        </w:tabs>
        <w:spacing w:before="240"/>
        <w:ind w:firstLine="0"/>
      </w:pPr>
      <w:r>
        <w:tab/>
      </w:r>
      <w:r>
        <w:rPr>
          <w:b/>
          <w:bCs/>
        </w:rPr>
        <w:t>Optimistický</w:t>
      </w:r>
      <w:r w:rsidRPr="00DB3107">
        <w:rPr>
          <w:b/>
          <w:bCs/>
        </w:rPr>
        <w:t xml:space="preserve"> scénář</w:t>
      </w:r>
      <w:r>
        <w:rPr>
          <w:b/>
          <w:bCs/>
        </w:rPr>
        <w:t xml:space="preserve"> </w:t>
      </w:r>
      <w:r w:rsidRPr="00D02189">
        <w:t>- dostupné</w:t>
      </w:r>
      <w:r>
        <w:t xml:space="preserve"> zásoby 2 200 mld. </w:t>
      </w:r>
      <w:proofErr w:type="spellStart"/>
      <w:r>
        <w:t>bbl</w:t>
      </w:r>
      <w:proofErr w:type="spellEnd"/>
      <w:r>
        <w:t xml:space="preserve">, ale nové objevené zásoby mohou navýšit až na 2 600 mld. </w:t>
      </w:r>
      <w:proofErr w:type="spellStart"/>
      <w:r>
        <w:t>bbl,což</w:t>
      </w:r>
      <w:proofErr w:type="spellEnd"/>
      <w:r>
        <w:t xml:space="preserve"> znamená spotřebu za 70 let, a do té doby najdeme nové zdroje energie.</w:t>
      </w:r>
    </w:p>
    <w:p w:rsidR="001D6B93" w:rsidRDefault="001D6B93" w:rsidP="001D6B93"/>
    <w:p w:rsidR="001D6B93" w:rsidRPr="001D6B93" w:rsidRDefault="001D6B93" w:rsidP="001D6B93"/>
    <w:p w:rsidR="00DC69D6" w:rsidRDefault="00DC69D6" w:rsidP="00824A89">
      <w:pPr>
        <w:pStyle w:val="odrka2"/>
        <w:numPr>
          <w:ilvl w:val="0"/>
          <w:numId w:val="0"/>
        </w:numPr>
        <w:ind w:left="357"/>
      </w:pPr>
      <w:proofErr w:type="spellStart"/>
      <w:r>
        <w:t>Pollyannin</w:t>
      </w:r>
      <w:proofErr w:type="spellEnd"/>
      <w:r>
        <w:t xml:space="preserve"> scénář</w:t>
      </w:r>
    </w:p>
    <w:p w:rsidR="00DC69D6" w:rsidRPr="00C848C1" w:rsidRDefault="00DC69D6" w:rsidP="00DC69D6">
      <w:pPr>
        <w:pStyle w:val="azkladntext"/>
      </w:pPr>
      <w:r>
        <w:t xml:space="preserve">Nejprve vysvětlení pojmu: </w:t>
      </w:r>
      <w:proofErr w:type="spellStart"/>
      <w:r>
        <w:t>Pollyanna</w:t>
      </w:r>
      <w:proofErr w:type="spellEnd"/>
      <w:r>
        <w:t xml:space="preserve"> je postava vždy usměvavého a optimistického sirotka ze stejnojmenného dětského románu z r. 1913, později mnohokrát zfilmovaného. V angličtině pojem „</w:t>
      </w:r>
      <w:proofErr w:type="spellStart"/>
      <w:r>
        <w:t>pollyanna</w:t>
      </w:r>
      <w:proofErr w:type="spellEnd"/>
      <w:r>
        <w:t xml:space="preserve">“ zlidověl a používá se jako </w:t>
      </w:r>
      <w:r>
        <w:lastRenderedPageBreak/>
        <w:t>označení naivní duše očekávající od ostatních slušné a řádné chování i v situacích, kdy u nich lze předpokládat jedině pravý opak.</w:t>
      </w:r>
    </w:p>
    <w:p w:rsidR="00DC69D6" w:rsidRDefault="00DC69D6" w:rsidP="00DC69D6">
      <w:pPr>
        <w:pStyle w:val="azkladntext"/>
      </w:pPr>
      <w:r>
        <w:t xml:space="preserve">Světová ekonomika může pokračovat v růstu bez omezení. Pokles těžby ropy nastane za 30 nebo více let a do té doby vymyslíme a vyvineme alternativní zdroje energie – </w:t>
      </w:r>
      <w:proofErr w:type="spellStart"/>
      <w:r>
        <w:t>fotovoltaické</w:t>
      </w:r>
      <w:proofErr w:type="spellEnd"/>
      <w:r>
        <w:t xml:space="preserve"> a palivové články, termojadernou fúzi apod.</w:t>
      </w:r>
    </w:p>
    <w:p w:rsidR="00DC69D6" w:rsidRDefault="0039076E" w:rsidP="00DC69D6">
      <w:pPr>
        <w:pStyle w:val="azkladntext"/>
        <w:spacing w:before="240"/>
        <w:ind w:firstLine="0"/>
        <w:jc w:val="center"/>
        <w:rPr>
          <w:b/>
          <w:bCs/>
        </w:rPr>
      </w:pPr>
      <w:r>
        <w:rPr>
          <w:b/>
          <w:bCs/>
          <w:noProof/>
        </w:rPr>
        <w:drawing>
          <wp:inline distT="0" distB="0" distL="0" distR="0">
            <wp:extent cx="2721610" cy="1548765"/>
            <wp:effectExtent l="0" t="0" r="0" b="0"/>
            <wp:docPr id="661" name="obráze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1610" cy="1548765"/>
                    </a:xfrm>
                    <a:prstGeom prst="rect">
                      <a:avLst/>
                    </a:prstGeom>
                    <a:noFill/>
                  </pic:spPr>
                </pic:pic>
              </a:graphicData>
            </a:graphic>
          </wp:inline>
        </w:drawing>
      </w:r>
    </w:p>
    <w:p w:rsidR="00DC69D6" w:rsidRDefault="00DC69D6" w:rsidP="00DC69D6">
      <w:pPr>
        <w:pStyle w:val="odrka2"/>
      </w:pPr>
      <w:r>
        <w:t>Budoucí objevy nových ropných polí a technologický pokrok v těžbě umožní pokračování růstu těžby až do let 2040-2050, kdy bude ropného zlomu dosaženo;</w:t>
      </w:r>
    </w:p>
    <w:p w:rsidR="00DC69D6" w:rsidRDefault="00DC69D6" w:rsidP="00DC69D6">
      <w:pPr>
        <w:pStyle w:val="odrka2"/>
      </w:pPr>
      <w:r>
        <w:t>Ropa je abiotického původu, vzniká průběžně v nedostupných hlubinách Země a je v zásadě neomezeným zdrojem, který bude doplňován po stovky let...</w:t>
      </w:r>
    </w:p>
    <w:p w:rsidR="00DC69D6" w:rsidRDefault="00DC69D6" w:rsidP="00DC69D6">
      <w:pPr>
        <w:pStyle w:val="azkladntext"/>
        <w:spacing w:before="240"/>
        <w:ind w:firstLine="0"/>
        <w:rPr>
          <w:b/>
          <w:bCs/>
        </w:rPr>
      </w:pPr>
      <w:r w:rsidRPr="007D40AA">
        <w:rPr>
          <w:b/>
          <w:bCs/>
        </w:rPr>
        <w:t>Optimistický scénář</w:t>
      </w:r>
    </w:p>
    <w:tbl>
      <w:tblPr>
        <w:tblpPr w:leftFromText="141" w:rightFromText="141" w:vertAnchor="text" w:tblpY="1"/>
        <w:tblOverlap w:val="never"/>
        <w:tblW w:w="9072" w:type="dxa"/>
        <w:tblLook w:val="01E0" w:firstRow="1" w:lastRow="1" w:firstColumn="1" w:lastColumn="1" w:noHBand="0" w:noVBand="0"/>
      </w:tblPr>
      <w:tblGrid>
        <w:gridCol w:w="9072"/>
      </w:tblGrid>
      <w:tr w:rsidR="00DC69D6" w:rsidRPr="00E07432" w:rsidTr="009B4B0C">
        <w:tc>
          <w:tcPr>
            <w:tcW w:w="9072" w:type="dxa"/>
          </w:tcPr>
          <w:p w:rsidR="00DC69D6" w:rsidRPr="00E07432" w:rsidRDefault="0039076E" w:rsidP="009B4B0C">
            <w:pPr>
              <w:pStyle w:val="azkladntext"/>
              <w:spacing w:before="240"/>
              <w:ind w:firstLine="0"/>
              <w:jc w:val="center"/>
              <w:rPr>
                <w:b/>
                <w:bCs/>
              </w:rPr>
            </w:pPr>
            <w:r w:rsidRPr="00E07432">
              <w:rPr>
                <w:b/>
                <w:bCs/>
                <w:noProof/>
              </w:rPr>
              <w:drawing>
                <wp:inline distT="0" distB="0" distL="0" distR="0">
                  <wp:extent cx="2717800" cy="1537970"/>
                  <wp:effectExtent l="0" t="0" r="0" b="0"/>
                  <wp:docPr id="660" name="obráze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7800" cy="1537970"/>
                          </a:xfrm>
                          <a:prstGeom prst="rect">
                            <a:avLst/>
                          </a:prstGeom>
                          <a:noFill/>
                        </pic:spPr>
                      </pic:pic>
                    </a:graphicData>
                  </a:graphic>
                </wp:inline>
              </w:drawing>
            </w:r>
          </w:p>
        </w:tc>
      </w:tr>
    </w:tbl>
    <w:p w:rsidR="00DC69D6" w:rsidRPr="007D40AA" w:rsidRDefault="00DC69D6" w:rsidP="00DC69D6">
      <w:pPr>
        <w:pStyle w:val="azkladntext"/>
      </w:pPr>
      <w:r>
        <w:rPr>
          <w:b/>
          <w:bCs/>
        </w:rPr>
        <w:br w:type="textWrapping" w:clear="all"/>
      </w:r>
      <w:r w:rsidRPr="007D40AA">
        <w:t>Světová ekonomika může pokračovat v růstu jedině s podporou masivních kapitálových investic do hledání nových ložisek společně s velkým nárůstem těžby z nekonvenčních zdrojů (ropné břidlice, dehtové písky) a rozvojem alternativních zdrojů energie. I když lze očekávat období napětí v dodávkách ropy, tržní síly budou schopny stimulovat adekvátní zvýšení její těžby.</w:t>
      </w:r>
    </w:p>
    <w:p w:rsidR="00DC69D6" w:rsidRPr="007D40AA" w:rsidRDefault="00DC69D6" w:rsidP="00DC69D6">
      <w:pPr>
        <w:pStyle w:val="azkladntext"/>
      </w:pPr>
      <w:r w:rsidRPr="007D40AA">
        <w:t xml:space="preserve">Odhady zásob deklarované ropnými státy jsou přesné nebo podhodnocené. Tržní síly budou podporovat vyšší těžbu ropy i alternativní zdroje energií. Nové </w:t>
      </w:r>
      <w:r w:rsidRPr="007D40AA">
        <w:lastRenderedPageBreak/>
        <w:t>technologie umožní vyšší výtěžnost stávajících vrtů. Ještě musí být objeveny významné nové zásoby ropy.</w:t>
      </w:r>
    </w:p>
    <w:p w:rsidR="00DC69D6" w:rsidRPr="0031621F" w:rsidRDefault="00DC69D6" w:rsidP="00DC69D6">
      <w:pPr>
        <w:pStyle w:val="azkladntext"/>
        <w:spacing w:before="240"/>
        <w:ind w:firstLine="0"/>
        <w:rPr>
          <w:b/>
          <w:bCs/>
        </w:rPr>
      </w:pPr>
      <w:r w:rsidRPr="0031621F">
        <w:rPr>
          <w:b/>
          <w:bCs/>
        </w:rPr>
        <w:t>Scénář stagnace</w:t>
      </w:r>
    </w:p>
    <w:tbl>
      <w:tblPr>
        <w:tblW w:w="0" w:type="auto"/>
        <w:jc w:val="center"/>
        <w:tblLook w:val="01E0" w:firstRow="1" w:lastRow="1" w:firstColumn="1" w:lastColumn="1" w:noHBand="0" w:noVBand="0"/>
      </w:tblPr>
      <w:tblGrid>
        <w:gridCol w:w="4597"/>
      </w:tblGrid>
      <w:tr w:rsidR="00DC69D6" w:rsidRPr="00E07432" w:rsidTr="00E07432">
        <w:trPr>
          <w:jc w:val="center"/>
        </w:trPr>
        <w:tc>
          <w:tcPr>
            <w:tcW w:w="3621" w:type="dxa"/>
          </w:tcPr>
          <w:p w:rsidR="00DC69D6" w:rsidRPr="00E07432" w:rsidRDefault="0039076E" w:rsidP="00E07432">
            <w:pPr>
              <w:spacing w:before="90"/>
              <w:ind w:right="180"/>
              <w:jc w:val="both"/>
              <w:rPr>
                <w:rFonts w:ascii="Arial" w:hAnsi="Arial" w:cs="Arial"/>
                <w:color w:val="000776"/>
                <w:sz w:val="18"/>
                <w:szCs w:val="18"/>
              </w:rPr>
            </w:pPr>
            <w:r w:rsidRPr="00E07432">
              <w:rPr>
                <w:rFonts w:ascii="Arial" w:hAnsi="Arial" w:cs="Arial"/>
                <w:noProof/>
                <w:color w:val="000776"/>
                <w:sz w:val="18"/>
                <w:szCs w:val="18"/>
              </w:rPr>
              <w:drawing>
                <wp:inline distT="0" distB="0" distL="0" distR="0">
                  <wp:extent cx="2667635" cy="1511300"/>
                  <wp:effectExtent l="0" t="0" r="0" b="0"/>
                  <wp:docPr id="659" name="obráze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635" cy="1511300"/>
                          </a:xfrm>
                          <a:prstGeom prst="rect">
                            <a:avLst/>
                          </a:prstGeom>
                          <a:noFill/>
                        </pic:spPr>
                      </pic:pic>
                    </a:graphicData>
                  </a:graphic>
                </wp:inline>
              </w:drawing>
            </w:r>
          </w:p>
        </w:tc>
      </w:tr>
    </w:tbl>
    <w:p w:rsidR="00DC69D6" w:rsidRDefault="00DC69D6" w:rsidP="00DC69D6">
      <w:pPr>
        <w:pStyle w:val="azkladntext"/>
      </w:pPr>
      <w:r>
        <w:t>Ropný zlom je blízko (v horizontu 1 – 4 let), avšak tržní síly otupí ostrý vrchol křivky těžby ropy a rozloží jej na několik let, takže zdroje nekonvenční ropy a předpokládané nově vyvinuté alternativní energetické zdroje vyplní mezeru, až začne těžba klesat. Celkový růst množství dostupné energie je však dlouhodobě neudržitelný, což vyústí ve zpomalení ekonomického růstu a tlak na rozvojové země snažící se o zvýšení životní úrovně. Výsledkem bude napětí vedoucí k nestabilitě světových trhů a zvyšující možnost světového konfliktu o omezené zdroje.</w:t>
      </w:r>
    </w:p>
    <w:p w:rsidR="00DC69D6" w:rsidRDefault="00DC69D6" w:rsidP="00DC69D6">
      <w:pPr>
        <w:pStyle w:val="azkladntext"/>
      </w:pPr>
      <w:r>
        <w:t xml:space="preserve">V budoucnosti pravděpodobně nebudou nalezena žádná nová velká ropná pole s významnějšími zásobami. Nově vytěžená ropa nebude stačit kompenzovat vyčerpání starých ložisek. Nové technologie sice umožní rychlejší těžbu, avšak podstatně nezvýší celkovou výtěžnost ložisek. Deklarované těžitelné rezervy jsou nadhodnoceny Nekonvenční zdroje ropy a </w:t>
      </w:r>
      <w:proofErr w:type="spellStart"/>
      <w:r>
        <w:t>alterantivní</w:t>
      </w:r>
      <w:proofErr w:type="spellEnd"/>
      <w:r>
        <w:t xml:space="preserve"> energie nedokážou zcela vyplnit mezeru vzniklou vyčerpáním ropy v období ropného zlomu.</w:t>
      </w:r>
    </w:p>
    <w:p w:rsidR="00DC69D6" w:rsidRPr="0031621F" w:rsidRDefault="00DC69D6" w:rsidP="00DC69D6">
      <w:pPr>
        <w:pStyle w:val="azkladntext"/>
        <w:spacing w:before="240"/>
        <w:ind w:firstLine="0"/>
        <w:rPr>
          <w:b/>
          <w:bCs/>
        </w:rPr>
      </w:pPr>
      <w:r w:rsidRPr="0031621F">
        <w:rPr>
          <w:b/>
          <w:bCs/>
        </w:rPr>
        <w:t>Pesimistický scénář</w:t>
      </w:r>
    </w:p>
    <w:tbl>
      <w:tblPr>
        <w:tblW w:w="0" w:type="auto"/>
        <w:jc w:val="center"/>
        <w:tblLook w:val="01E0" w:firstRow="1" w:lastRow="1" w:firstColumn="1" w:lastColumn="1" w:noHBand="0" w:noVBand="0"/>
      </w:tblPr>
      <w:tblGrid>
        <w:gridCol w:w="4574"/>
      </w:tblGrid>
      <w:tr w:rsidR="00DC69D6" w:rsidRPr="00E07432" w:rsidTr="00E07432">
        <w:trPr>
          <w:jc w:val="center"/>
        </w:trPr>
        <w:tc>
          <w:tcPr>
            <w:tcW w:w="3775" w:type="dxa"/>
          </w:tcPr>
          <w:p w:rsidR="00DC69D6" w:rsidRPr="00E07432" w:rsidRDefault="0039076E" w:rsidP="00E07432">
            <w:pPr>
              <w:spacing w:before="90"/>
              <w:ind w:right="180"/>
              <w:jc w:val="both"/>
              <w:rPr>
                <w:rFonts w:ascii="Arial" w:hAnsi="Arial" w:cs="Arial"/>
                <w:color w:val="000776"/>
                <w:sz w:val="18"/>
                <w:szCs w:val="18"/>
              </w:rPr>
            </w:pPr>
            <w:r w:rsidRPr="00E07432">
              <w:rPr>
                <w:rFonts w:ascii="Arial" w:hAnsi="Arial" w:cs="Arial"/>
                <w:noProof/>
                <w:color w:val="000776"/>
                <w:sz w:val="18"/>
                <w:szCs w:val="18"/>
              </w:rPr>
              <w:drawing>
                <wp:inline distT="0" distB="0" distL="0" distR="0">
                  <wp:extent cx="2653030" cy="1510665"/>
                  <wp:effectExtent l="0" t="0" r="0" b="0"/>
                  <wp:docPr id="658" name="obráze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3030" cy="1510665"/>
                          </a:xfrm>
                          <a:prstGeom prst="rect">
                            <a:avLst/>
                          </a:prstGeom>
                          <a:noFill/>
                        </pic:spPr>
                      </pic:pic>
                    </a:graphicData>
                  </a:graphic>
                </wp:inline>
              </w:drawing>
            </w:r>
          </w:p>
        </w:tc>
      </w:tr>
    </w:tbl>
    <w:p w:rsidR="00DC69D6" w:rsidRDefault="00DC69D6" w:rsidP="00DC69D6">
      <w:pPr>
        <w:spacing w:before="90"/>
        <w:ind w:right="180"/>
        <w:jc w:val="both"/>
        <w:rPr>
          <w:rFonts w:ascii="Arial" w:hAnsi="Arial" w:cs="Arial"/>
          <w:color w:val="000776"/>
          <w:sz w:val="18"/>
          <w:szCs w:val="18"/>
        </w:rPr>
      </w:pPr>
    </w:p>
    <w:p w:rsidR="00DC69D6" w:rsidRDefault="00DC69D6" w:rsidP="00DC69D6">
      <w:pPr>
        <w:pStyle w:val="azkladntext"/>
      </w:pPr>
      <w:r>
        <w:t xml:space="preserve">Těžba ropy právě vrcholí nebo dosáhne svého vrcholu do čtyř let. Poté, kdy těžba začne klesat, ani enormní úsilí o hledání a těžbu většího množství ropy nebude </w:t>
      </w:r>
      <w:r>
        <w:lastRenderedPageBreak/>
        <w:t>moci eliminovat vyčerpání největších světových ložisek. Výsledkem budou rychle rostoucí ceny ropy, které přivodí období celosvětové deprese., která sníží poptávku po energii. Nicméně se očekává dlouhé období ekonomického poklesu, nakonec zmírněné novými technologiemi a přechodem na alternativní energetické zdroje.</w:t>
      </w:r>
    </w:p>
    <w:p w:rsidR="00FF2BDE" w:rsidRDefault="00DC69D6" w:rsidP="001E0AE4">
      <w:pPr>
        <w:pStyle w:val="azkladntext"/>
      </w:pPr>
      <w:r>
        <w:t>Pesimisté vidí známky toho, že ropný zlom právě nastává nebo je velmi blízko. Přechod na nekonvenční a alternativní zdroje ve větším měřítku není v blízké budoucnosti možný. Proto v příštích 10 – 20 letech nastane nevyhnutelná propast mezi poptávkou po energiích a jejich nabídkou.</w:t>
      </w:r>
    </w:p>
    <w:p w:rsidR="00B2251A" w:rsidRDefault="00B2251A" w:rsidP="00824A89">
      <w:pPr>
        <w:pStyle w:val="Nadpis1"/>
      </w:pPr>
      <w:r>
        <w:t>Ropa a ČR</w:t>
      </w:r>
    </w:p>
    <w:p w:rsidR="00824A89" w:rsidRPr="00824A89" w:rsidRDefault="00824A89" w:rsidP="00824A89">
      <w:pPr>
        <w:pStyle w:val="Nadpis2"/>
      </w:pPr>
      <w:bookmarkStart w:id="7" w:name="_Dovoz_ropy_do"/>
      <w:bookmarkEnd w:id="7"/>
      <w:r>
        <w:t>Dovoz ropy do ČR</w:t>
      </w:r>
    </w:p>
    <w:p w:rsidR="00B2251A" w:rsidRDefault="00B2251A" w:rsidP="00007A8D">
      <w:pPr>
        <w:pStyle w:val="azkladntext"/>
      </w:pPr>
      <w:r>
        <w:t>Ropa je do ČR dopravována dvěma ropovody, které tvoří jediný způsob dopravy této suroviny na území ČR k dalšímu zpracování. Na druhou stranu je nutné také zmínit těžbu ropy na našem území, která však v porovnání k celkové spotřebě ropných produktů tvoří zanedbatelnou část. Celková spotřeba ropy na našem území je také ovlivněna výši dovozu hotových ropných produktů ze zahraničí.</w:t>
      </w:r>
    </w:p>
    <w:p w:rsidR="00956ECC" w:rsidRDefault="00956ECC" w:rsidP="00007A8D">
      <w:pPr>
        <w:pStyle w:val="azkladntext"/>
      </w:pPr>
      <w:r>
        <w:t>Přehled zemí, které během poslední dekády poskytovaly ropu ČR, je uveden v následující tabulce.</w:t>
      </w:r>
    </w:p>
    <w:p w:rsidR="008B00A3" w:rsidRDefault="008B00A3" w:rsidP="008B00A3">
      <w:pPr>
        <w:pStyle w:val="M-2"/>
      </w:pPr>
      <w:r>
        <w:t xml:space="preserve">Tabulka </w:t>
      </w:r>
      <w:fldSimple w:instr=" SEQ Tabulka \* ARABIC ">
        <w:r>
          <w:rPr>
            <w:noProof/>
          </w:rPr>
          <w:t>2</w:t>
        </w:r>
      </w:fldSimple>
      <w:r>
        <w:t xml:space="preserve"> Přehled dovozu surové ropy do ČR</w:t>
      </w:r>
    </w:p>
    <w:p w:rsidR="001A3E4E" w:rsidRDefault="001A3E4E" w:rsidP="001A3E4E">
      <w:pPr>
        <w:pStyle w:val="M-2"/>
        <w:ind w:firstLine="0"/>
      </w:pPr>
      <w:r w:rsidRPr="001A3E4E">
        <w:rPr>
          <w:noProof/>
        </w:rPr>
        <w:drawing>
          <wp:inline distT="0" distB="0" distL="0" distR="0" wp14:anchorId="5231B753" wp14:editId="5852D6D3">
            <wp:extent cx="5759450" cy="25387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2538730"/>
                    </a:xfrm>
                    <a:prstGeom prst="rect">
                      <a:avLst/>
                    </a:prstGeom>
                    <a:noFill/>
                    <a:ln>
                      <a:noFill/>
                    </a:ln>
                  </pic:spPr>
                </pic:pic>
              </a:graphicData>
            </a:graphic>
          </wp:inline>
        </w:drawing>
      </w:r>
    </w:p>
    <w:p w:rsidR="00EA76E7" w:rsidRDefault="00F95B90" w:rsidP="00F95B90">
      <w:pPr>
        <w:pStyle w:val="azkladntext"/>
      </w:pPr>
      <w:r>
        <w:t>R</w:t>
      </w:r>
      <w:r w:rsidR="00EA76E7">
        <w:t>opa je ze za</w:t>
      </w:r>
      <w:r>
        <w:t>hraničí importována prostřednictví</w:t>
      </w:r>
      <w:r w:rsidR="00EA76E7">
        <w:t>m</w:t>
      </w:r>
      <w:r>
        <w:t xml:space="preserve"> státního podniku ME</w:t>
      </w:r>
      <w:r w:rsidR="00EA76E7">
        <w:t>R</w:t>
      </w:r>
      <w:r>
        <w:t xml:space="preserve">O (mezinárodní ropovody) </w:t>
      </w:r>
      <w:r w:rsidR="00EA76E7">
        <w:t>dvěma</w:t>
      </w:r>
      <w:r w:rsidR="001A3E4E">
        <w:t xml:space="preserve"> ropovod</w:t>
      </w:r>
      <w:r w:rsidR="00EA76E7">
        <w:t>y</w:t>
      </w:r>
      <w:r w:rsidR="001A3E4E">
        <w:t>, které jsou na území ČR.</w:t>
      </w:r>
      <w:r w:rsidR="00EA76E7" w:rsidRPr="00EA76E7">
        <w:rPr>
          <w:rFonts w:cs="Arial"/>
          <w:color w:val="000000"/>
          <w:sz w:val="23"/>
          <w:szCs w:val="23"/>
          <w:shd w:val="clear" w:color="auto" w:fill="FFFFFF"/>
        </w:rPr>
        <w:t xml:space="preserve"> </w:t>
      </w:r>
      <w:r w:rsidR="00EA76E7">
        <w:rPr>
          <w:rFonts w:cs="Arial"/>
          <w:color w:val="000000"/>
          <w:sz w:val="23"/>
          <w:szCs w:val="23"/>
          <w:shd w:val="clear" w:color="auto" w:fill="FFFFFF"/>
        </w:rPr>
        <w:t xml:space="preserve">MERO je provozovatel české části ropovodu Družba a ropovodu IKL, je jediným přepravcem ropy </w:t>
      </w:r>
      <w:r w:rsidR="00EA76E7">
        <w:rPr>
          <w:rFonts w:cs="Arial"/>
          <w:color w:val="000000"/>
          <w:sz w:val="23"/>
          <w:szCs w:val="23"/>
          <w:shd w:val="clear" w:color="auto" w:fill="FFFFFF"/>
        </w:rPr>
        <w:lastRenderedPageBreak/>
        <w:t xml:space="preserve">do České republiky a nejvýznamnější společností zajišťující skladování nouzových strategických zásob ropy. Oba ropovody vstupují do </w:t>
      </w:r>
      <w:r w:rsidR="00EA76E7" w:rsidRPr="00460CAA">
        <w:rPr>
          <w:rFonts w:cs="Arial"/>
          <w:b/>
          <w:color w:val="000000"/>
          <w:sz w:val="23"/>
          <w:szCs w:val="23"/>
          <w:shd w:val="clear" w:color="auto" w:fill="FFFFFF"/>
        </w:rPr>
        <w:t>Centrálního tankoviště ropy Nelahozeves,</w:t>
      </w:r>
      <w:r w:rsidR="00EA76E7">
        <w:rPr>
          <w:rFonts w:cs="Arial"/>
          <w:color w:val="000000"/>
          <w:sz w:val="23"/>
          <w:szCs w:val="23"/>
          <w:shd w:val="clear" w:color="auto" w:fill="FFFFFF"/>
        </w:rPr>
        <w:t xml:space="preserve"> kde společnost vybudovala celkem 16 ropných nádrží s celkovou </w:t>
      </w:r>
      <w:r w:rsidR="00EA76E7" w:rsidRPr="00460CAA">
        <w:rPr>
          <w:rFonts w:cs="Arial"/>
          <w:b/>
          <w:color w:val="000000"/>
          <w:sz w:val="23"/>
          <w:szCs w:val="23"/>
          <w:shd w:val="clear" w:color="auto" w:fill="FFFFFF"/>
        </w:rPr>
        <w:t>skladovací kapacitou 1.550.000 m</w:t>
      </w:r>
      <w:r w:rsidR="00EA76E7" w:rsidRPr="00460CAA">
        <w:rPr>
          <w:rFonts w:cs="Arial"/>
          <w:b/>
          <w:color w:val="000000"/>
          <w:sz w:val="23"/>
          <w:szCs w:val="23"/>
          <w:shd w:val="clear" w:color="auto" w:fill="FFFFFF"/>
          <w:vertAlign w:val="superscript"/>
        </w:rPr>
        <w:t>3</w:t>
      </w:r>
      <w:r w:rsidR="00501D89">
        <w:rPr>
          <w:rFonts w:cs="Arial"/>
          <w:color w:val="000000"/>
          <w:sz w:val="23"/>
          <w:szCs w:val="23"/>
          <w:shd w:val="clear" w:color="auto" w:fill="FFFFFF"/>
        </w:rPr>
        <w:t>. Výstavbou nového zásobníku</w:t>
      </w:r>
      <w:r w:rsidR="00956ECC">
        <w:rPr>
          <w:rFonts w:cs="Arial"/>
          <w:color w:val="000000"/>
          <w:sz w:val="23"/>
          <w:szCs w:val="23"/>
          <w:shd w:val="clear" w:color="auto" w:fill="FFFFFF"/>
        </w:rPr>
        <w:t xml:space="preserve"> v roce 2018</w:t>
      </w:r>
      <w:r w:rsidR="00501D89">
        <w:rPr>
          <w:rFonts w:cs="Arial"/>
          <w:color w:val="000000"/>
          <w:sz w:val="23"/>
          <w:szCs w:val="23"/>
          <w:shd w:val="clear" w:color="auto" w:fill="FFFFFF"/>
        </w:rPr>
        <w:t xml:space="preserve"> bude zvýšena skladovací kapacita na 1 675 000m</w:t>
      </w:r>
      <w:r w:rsidR="00501D89">
        <w:rPr>
          <w:rFonts w:cs="Arial"/>
          <w:color w:val="000000"/>
          <w:sz w:val="23"/>
          <w:szCs w:val="23"/>
          <w:shd w:val="clear" w:color="auto" w:fill="FFFFFF"/>
          <w:vertAlign w:val="superscript"/>
        </w:rPr>
        <w:t>3</w:t>
      </w:r>
      <w:sdt>
        <w:sdtPr>
          <w:rPr>
            <w:rFonts w:cs="Arial"/>
            <w:color w:val="000000"/>
            <w:sz w:val="23"/>
            <w:szCs w:val="23"/>
            <w:shd w:val="clear" w:color="auto" w:fill="FFFFFF"/>
          </w:rPr>
          <w:id w:val="-1582760886"/>
          <w:citation/>
        </w:sdtPr>
        <w:sdtContent>
          <w:r w:rsidR="00EA76E7">
            <w:rPr>
              <w:rFonts w:cs="Arial"/>
              <w:color w:val="000000"/>
              <w:sz w:val="23"/>
              <w:szCs w:val="23"/>
              <w:shd w:val="clear" w:color="auto" w:fill="FFFFFF"/>
            </w:rPr>
            <w:fldChar w:fldCharType="begin"/>
          </w:r>
          <w:r w:rsidR="00EA76E7">
            <w:rPr>
              <w:rFonts w:cs="Arial"/>
              <w:color w:val="000000"/>
              <w:sz w:val="23"/>
              <w:szCs w:val="23"/>
              <w:shd w:val="clear" w:color="auto" w:fill="FFFFFF"/>
            </w:rPr>
            <w:instrText xml:space="preserve"> CITATION ropa \l 1029 </w:instrText>
          </w:r>
          <w:r w:rsidR="00EA76E7">
            <w:rPr>
              <w:rFonts w:cs="Arial"/>
              <w:color w:val="000000"/>
              <w:sz w:val="23"/>
              <w:szCs w:val="23"/>
              <w:shd w:val="clear" w:color="auto" w:fill="FFFFFF"/>
            </w:rPr>
            <w:fldChar w:fldCharType="separate"/>
          </w:r>
          <w:r w:rsidR="00EA76E7">
            <w:rPr>
              <w:rFonts w:cs="Arial"/>
              <w:noProof/>
              <w:color w:val="000000"/>
              <w:sz w:val="23"/>
              <w:szCs w:val="23"/>
              <w:shd w:val="clear" w:color="auto" w:fill="FFFFFF"/>
            </w:rPr>
            <w:t xml:space="preserve"> </w:t>
          </w:r>
          <w:r w:rsidR="00EA76E7" w:rsidRPr="00EA76E7">
            <w:rPr>
              <w:rFonts w:cs="Arial"/>
              <w:noProof/>
              <w:color w:val="000000"/>
              <w:sz w:val="23"/>
              <w:szCs w:val="23"/>
              <w:shd w:val="clear" w:color="auto" w:fill="FFFFFF"/>
            </w:rPr>
            <w:t>[4]</w:t>
          </w:r>
          <w:r w:rsidR="00EA76E7">
            <w:rPr>
              <w:rFonts w:cs="Arial"/>
              <w:color w:val="000000"/>
              <w:sz w:val="23"/>
              <w:szCs w:val="23"/>
              <w:shd w:val="clear" w:color="auto" w:fill="FFFFFF"/>
            </w:rPr>
            <w:fldChar w:fldCharType="end"/>
          </w:r>
        </w:sdtContent>
      </w:sdt>
      <w:r w:rsidR="00EA76E7">
        <w:rPr>
          <w:rFonts w:cs="Arial"/>
          <w:color w:val="000000"/>
          <w:sz w:val="23"/>
          <w:szCs w:val="23"/>
          <w:shd w:val="clear" w:color="auto" w:fill="FFFFFF"/>
        </w:rPr>
        <w:t>.</w:t>
      </w:r>
      <w:r w:rsidR="001A3E4E">
        <w:t xml:space="preserve"> </w:t>
      </w:r>
    </w:p>
    <w:p w:rsidR="00F95B90" w:rsidRPr="00F95B90" w:rsidRDefault="00F95B90" w:rsidP="00F95B90">
      <w:pPr>
        <w:pStyle w:val="azkladntext"/>
      </w:pPr>
      <w:r>
        <w:t xml:space="preserve">Především ropa z Ruska je distribuována ropovodem Družba. </w:t>
      </w:r>
      <w:r w:rsidR="00501D89" w:rsidRPr="00501D89">
        <w:rPr>
          <w:b/>
        </w:rPr>
        <w:t>Kapacita ropovodu je 9 mil. tun ropy ročně</w:t>
      </w:r>
      <w:r w:rsidR="00501D89">
        <w:t xml:space="preserve">. </w:t>
      </w:r>
      <w:r>
        <w:t xml:space="preserve">Naopak ze západního směru je veden ropovod IKL </w:t>
      </w:r>
      <w:r w:rsidRPr="00F95B90">
        <w:t xml:space="preserve">Ropovod Ingolstadt – Kralupy nad Vltavou – </w:t>
      </w:r>
      <w:proofErr w:type="gramStart"/>
      <w:r w:rsidRPr="00F95B90">
        <w:t>Litvínov</w:t>
      </w:r>
      <w:r w:rsidR="00460CAA">
        <w:t xml:space="preserve"> jehož</w:t>
      </w:r>
      <w:proofErr w:type="gramEnd"/>
      <w:r w:rsidR="00460CAA">
        <w:t xml:space="preserve"> </w:t>
      </w:r>
      <w:r w:rsidR="00460CAA" w:rsidRPr="00460CAA">
        <w:rPr>
          <w:b/>
        </w:rPr>
        <w:t>je 10 mil. tun</w:t>
      </w:r>
      <w:r w:rsidR="00460CAA">
        <w:t xml:space="preserve"> ropy ročně. IKL</w:t>
      </w:r>
      <w:r>
        <w:t xml:space="preserve"> je dá</w:t>
      </w:r>
      <w:r w:rsidR="00EA76E7">
        <w:t>l</w:t>
      </w:r>
      <w:r>
        <w:t>e napojen na ropovod TAL</w:t>
      </w:r>
      <w:r w:rsidR="00460CAA">
        <w:t xml:space="preserve"> (</w:t>
      </w:r>
      <w:proofErr w:type="spellStart"/>
      <w:r w:rsidR="00460CAA" w:rsidRPr="00460CAA">
        <w:t>The</w:t>
      </w:r>
      <w:proofErr w:type="spellEnd"/>
      <w:r w:rsidR="00460CAA" w:rsidRPr="00460CAA">
        <w:t> </w:t>
      </w:r>
      <w:proofErr w:type="spellStart"/>
      <w:r w:rsidR="00460CAA" w:rsidRPr="00460CAA">
        <w:t>TransalpinePipeline</w:t>
      </w:r>
      <w:proofErr w:type="spellEnd"/>
      <w:r w:rsidR="00460CAA" w:rsidRPr="00460CAA">
        <w:t>)</w:t>
      </w:r>
      <w:r>
        <w:t>, který</w:t>
      </w:r>
      <w:r w:rsidRPr="00F95B90">
        <w:t xml:space="preserve"> je spravován společenstvím TAL</w:t>
      </w:r>
      <w:r w:rsidR="00460CAA">
        <w:t xml:space="preserve"> </w:t>
      </w:r>
      <w:r w:rsidRPr="00F95B90">
        <w:t xml:space="preserve">Group (TAL </w:t>
      </w:r>
      <w:proofErr w:type="spellStart"/>
      <w:r w:rsidRPr="00F95B90">
        <w:t>Consortium</w:t>
      </w:r>
      <w:proofErr w:type="spellEnd"/>
      <w:r w:rsidRPr="00F95B90">
        <w:t xml:space="preserve">), které tvoří tři společnosti - </w:t>
      </w:r>
      <w:proofErr w:type="spellStart"/>
      <w:r w:rsidRPr="00F95B90">
        <w:t>Societá</w:t>
      </w:r>
      <w:proofErr w:type="spellEnd"/>
      <w:r w:rsidRPr="00F95B90">
        <w:t xml:space="preserve"> </w:t>
      </w:r>
      <w:proofErr w:type="spellStart"/>
      <w:r w:rsidRPr="00F95B90">
        <w:t>Italiana</w:t>
      </w:r>
      <w:proofErr w:type="spellEnd"/>
      <w:r w:rsidRPr="00F95B90">
        <w:t xml:space="preserve"> per </w:t>
      </w:r>
      <w:proofErr w:type="spellStart"/>
      <w:r w:rsidRPr="00F95B90">
        <w:t>l´Oeleodotto</w:t>
      </w:r>
      <w:proofErr w:type="spellEnd"/>
      <w:r w:rsidRPr="00F95B90">
        <w:t xml:space="preserve"> </w:t>
      </w:r>
      <w:proofErr w:type="spellStart"/>
      <w:r w:rsidRPr="00F95B90">
        <w:t>Transalpino</w:t>
      </w:r>
      <w:proofErr w:type="spellEnd"/>
      <w:r w:rsidRPr="00F95B90">
        <w:t xml:space="preserve"> </w:t>
      </w:r>
      <w:proofErr w:type="spellStart"/>
      <w:r w:rsidRPr="00F95B90">
        <w:t>S.p.a</w:t>
      </w:r>
      <w:proofErr w:type="spellEnd"/>
      <w:r w:rsidRPr="00F95B90">
        <w:t xml:space="preserve"> (SIOT), </w:t>
      </w:r>
      <w:proofErr w:type="spellStart"/>
      <w:r w:rsidRPr="00F95B90">
        <w:t>Transalpine</w:t>
      </w:r>
      <w:proofErr w:type="spellEnd"/>
      <w:r w:rsidRPr="00F95B90">
        <w:t xml:space="preserve"> </w:t>
      </w:r>
      <w:proofErr w:type="spellStart"/>
      <w:r w:rsidRPr="00F95B90">
        <w:t>Ölleitung</w:t>
      </w:r>
      <w:proofErr w:type="spellEnd"/>
      <w:r w:rsidRPr="00F95B90">
        <w:t xml:space="preserve"> in </w:t>
      </w:r>
      <w:proofErr w:type="spellStart"/>
      <w:r w:rsidRPr="00F95B90">
        <w:t>Österreich</w:t>
      </w:r>
      <w:proofErr w:type="spellEnd"/>
      <w:r w:rsidRPr="00F95B90">
        <w:t xml:space="preserve"> </w:t>
      </w:r>
      <w:proofErr w:type="spellStart"/>
      <w:r w:rsidRPr="00F95B90">
        <w:t>Ges.</w:t>
      </w:r>
      <w:proofErr w:type="gramStart"/>
      <w:r w:rsidRPr="00F95B90">
        <w:t>m.b.H</w:t>
      </w:r>
      <w:proofErr w:type="spellEnd"/>
      <w:r w:rsidRPr="00F95B90">
        <w:t xml:space="preserve"> a </w:t>
      </w:r>
      <w:proofErr w:type="spellStart"/>
      <w:r w:rsidRPr="00F95B90">
        <w:t>Deutsche</w:t>
      </w:r>
      <w:proofErr w:type="spellEnd"/>
      <w:proofErr w:type="gramEnd"/>
      <w:r w:rsidRPr="00F95B90">
        <w:t xml:space="preserve"> </w:t>
      </w:r>
      <w:proofErr w:type="spellStart"/>
      <w:r w:rsidRPr="00F95B90">
        <w:t>Transalpine</w:t>
      </w:r>
      <w:proofErr w:type="spellEnd"/>
      <w:r w:rsidRPr="00F95B90">
        <w:t xml:space="preserve"> </w:t>
      </w:r>
      <w:proofErr w:type="spellStart"/>
      <w:r w:rsidRPr="00F95B90">
        <w:t>Oelleitung</w:t>
      </w:r>
      <w:proofErr w:type="spellEnd"/>
      <w:r w:rsidRPr="00F95B90">
        <w:t xml:space="preserve"> </w:t>
      </w:r>
      <w:proofErr w:type="spellStart"/>
      <w:r w:rsidRPr="00F95B90">
        <w:t>GmbH</w:t>
      </w:r>
      <w:proofErr w:type="spellEnd"/>
      <w:r w:rsidRPr="00F95B90">
        <w:t>. Podíly v jednotlivých společnostech drží významné světové petrolejářské společnosti</w:t>
      </w:r>
      <w:r w:rsidR="00460CAA">
        <w:t xml:space="preserve"> (</w:t>
      </w:r>
      <w:r w:rsidR="00460CAA" w:rsidRPr="00460CAA">
        <w:t xml:space="preserve">ÖMV, Shell, Exxon Mobile, Ruhr </w:t>
      </w:r>
      <w:proofErr w:type="spellStart"/>
      <w:r w:rsidR="00460CAA" w:rsidRPr="00460CAA">
        <w:t>Öl</w:t>
      </w:r>
      <w:proofErr w:type="spellEnd"/>
      <w:r w:rsidR="00460CAA" w:rsidRPr="00460CAA">
        <w:t xml:space="preserve">, ENI, BP, </w:t>
      </w:r>
      <w:proofErr w:type="spellStart"/>
      <w:r w:rsidR="00460CAA" w:rsidRPr="00460CAA">
        <w:t>Conoco</w:t>
      </w:r>
      <w:proofErr w:type="spellEnd"/>
      <w:r w:rsidR="00460CAA" w:rsidRPr="00460CAA">
        <w:t xml:space="preserve"> Philips, </w:t>
      </w:r>
      <w:proofErr w:type="spellStart"/>
      <w:r w:rsidR="00460CAA" w:rsidRPr="00460CAA">
        <w:t>Petroplus</w:t>
      </w:r>
      <w:proofErr w:type="spellEnd"/>
      <w:r w:rsidR="00460CAA" w:rsidRPr="00460CAA">
        <w:t xml:space="preserve"> a </w:t>
      </w:r>
      <w:proofErr w:type="spellStart"/>
      <w:r w:rsidR="00460CAA" w:rsidRPr="00460CAA">
        <w:t>Total</w:t>
      </w:r>
      <w:proofErr w:type="spellEnd"/>
      <w:r w:rsidR="00460CAA" w:rsidRPr="00460CAA">
        <w:t>)</w:t>
      </w:r>
      <w:sdt>
        <w:sdtPr>
          <w:id w:val="458843818"/>
          <w:citation/>
        </w:sdtPr>
        <w:sdtContent>
          <w:r w:rsidR="00D73F41">
            <w:fldChar w:fldCharType="begin"/>
          </w:r>
          <w:r w:rsidR="00D73F41">
            <w:instrText xml:space="preserve"> CITATION ropa \l 1029 </w:instrText>
          </w:r>
          <w:r w:rsidR="00D73F41">
            <w:fldChar w:fldCharType="separate"/>
          </w:r>
          <w:r w:rsidR="00D73F41">
            <w:rPr>
              <w:noProof/>
            </w:rPr>
            <w:t xml:space="preserve"> [4]</w:t>
          </w:r>
          <w:r w:rsidR="00D73F41">
            <w:fldChar w:fldCharType="end"/>
          </w:r>
        </w:sdtContent>
      </w:sdt>
      <w:r w:rsidRPr="00F95B90">
        <w:t>. Společnost MERO ČR, a.s. je vlastníkem 5% podílu ve všech třech výše uvedených společnostech.</w:t>
      </w:r>
      <w:r w:rsidR="00460CAA">
        <w:t xml:space="preserve"> Podíl MERO ČR získa</w:t>
      </w:r>
      <w:r w:rsidR="00D73F41">
        <w:t xml:space="preserve">l v roce 2019 od </w:t>
      </w:r>
      <w:proofErr w:type="spellStart"/>
      <w:r w:rsidR="00D73F41">
        <w:t>společnostvi</w:t>
      </w:r>
      <w:proofErr w:type="spellEnd"/>
      <w:r w:rsidR="00D73F41">
        <w:t xml:space="preserve"> Shell </w:t>
      </w:r>
      <w:proofErr w:type="spellStart"/>
      <w:r w:rsidR="00D73F41" w:rsidRPr="00D73F41">
        <w:t>Deutschland</w:t>
      </w:r>
      <w:proofErr w:type="spellEnd"/>
      <w:r w:rsidR="00D73F41" w:rsidRPr="00D73F41">
        <w:t xml:space="preserve"> </w:t>
      </w:r>
      <w:proofErr w:type="spellStart"/>
      <w:r w:rsidR="00D73F41" w:rsidRPr="00D73F41">
        <w:t>Oil</w:t>
      </w:r>
      <w:proofErr w:type="spellEnd"/>
      <w:r w:rsidR="00D73F41">
        <w:t xml:space="preserve"> </w:t>
      </w:r>
      <w:sdt>
        <w:sdtPr>
          <w:id w:val="-2095306074"/>
          <w:citation/>
        </w:sdtPr>
        <w:sdtContent>
          <w:r w:rsidR="00D73F41">
            <w:fldChar w:fldCharType="begin"/>
          </w:r>
          <w:r w:rsidR="00D73F41">
            <w:instrText xml:space="preserve"> CITATION Ropa4 \l 1029 </w:instrText>
          </w:r>
          <w:r w:rsidR="00D73F41">
            <w:fldChar w:fldCharType="separate"/>
          </w:r>
          <w:r w:rsidR="00D73F41">
            <w:rPr>
              <w:noProof/>
            </w:rPr>
            <w:t>[5]</w:t>
          </w:r>
          <w:r w:rsidR="00D73F41">
            <w:fldChar w:fldCharType="end"/>
          </w:r>
        </w:sdtContent>
      </w:sdt>
      <w:r w:rsidR="00D73F41">
        <w:t>.</w:t>
      </w:r>
      <w:r w:rsidRPr="00F95B90">
        <w:t xml:space="preserve"> Ropovod TAL propojuje přístav v Terstu se středoevropskými zeměmi s cílem napomoci zabezpečit jejich energetické potřeby zajištěním dodávek ropy do rafinérií v Rakousku, Německu a České republice. Z přístavu v Terstu ropovod TAL pokračuje italským regionem </w:t>
      </w:r>
      <w:proofErr w:type="spellStart"/>
      <w:r w:rsidRPr="00F95B90">
        <w:t>Friuli</w:t>
      </w:r>
      <w:proofErr w:type="spellEnd"/>
      <w:r w:rsidRPr="00F95B90">
        <w:t xml:space="preserve"> </w:t>
      </w:r>
      <w:proofErr w:type="spellStart"/>
      <w:r w:rsidRPr="00F95B90">
        <w:t>Venezia</w:t>
      </w:r>
      <w:proofErr w:type="spellEnd"/>
      <w:r w:rsidRPr="00F95B90">
        <w:t xml:space="preserve"> Giulia, protíná Alpy a pokračuje přes Rakousko do Ingolstadtu v Německu, kde se rozdvojuje. Západní část ropovodu končí u Karlsruhe</w:t>
      </w:r>
      <w:r w:rsidR="00EA76E7">
        <w:t xml:space="preserve"> </w:t>
      </w:r>
      <w:sdt>
        <w:sdtPr>
          <w:id w:val="959459280"/>
          <w:citation/>
        </w:sdtPr>
        <w:sdtContent>
          <w:r w:rsidR="00EA76E7">
            <w:fldChar w:fldCharType="begin"/>
          </w:r>
          <w:r w:rsidR="00EA76E7">
            <w:instrText xml:space="preserve"> CITATION ropa \l 1029 </w:instrText>
          </w:r>
          <w:r w:rsidR="00EA76E7">
            <w:fldChar w:fldCharType="separate"/>
          </w:r>
          <w:r w:rsidR="00EA76E7">
            <w:rPr>
              <w:noProof/>
            </w:rPr>
            <w:t>[4]</w:t>
          </w:r>
          <w:r w:rsidR="00EA76E7">
            <w:fldChar w:fldCharType="end"/>
          </w:r>
        </w:sdtContent>
      </w:sdt>
      <w:r w:rsidR="00EA76E7">
        <w:t>.</w:t>
      </w:r>
      <w:r w:rsidR="00501D89">
        <w:t xml:space="preserve"> Napojení ropovodu na terminál v Terstu poskytuje ČR možnost nakupovat ropu po celém světě, což významným způsobem přispívá ke snížení závislosti na Rusku.</w:t>
      </w:r>
    </w:p>
    <w:tbl>
      <w:tblPr>
        <w:tblW w:w="0" w:type="auto"/>
        <w:tblLook w:val="01E0" w:firstRow="1" w:lastRow="1" w:firstColumn="1" w:lastColumn="1" w:noHBand="0" w:noVBand="0"/>
      </w:tblPr>
      <w:tblGrid>
        <w:gridCol w:w="4535"/>
        <w:gridCol w:w="4535"/>
      </w:tblGrid>
      <w:tr w:rsidR="009166A9" w:rsidTr="001A3E4E">
        <w:trPr>
          <w:trHeight w:val="3016"/>
        </w:trPr>
        <w:tc>
          <w:tcPr>
            <w:tcW w:w="9070" w:type="dxa"/>
            <w:gridSpan w:val="2"/>
          </w:tcPr>
          <w:bookmarkStart w:id="8" w:name="_MON_1316854069"/>
          <w:bookmarkEnd w:id="8"/>
          <w:bookmarkStart w:id="9" w:name="_MON_1316854035"/>
          <w:bookmarkEnd w:id="9"/>
          <w:p w:rsidR="009166A9" w:rsidRDefault="009166A9" w:rsidP="008B00A3">
            <w:pPr>
              <w:pStyle w:val="azkltext-sted"/>
            </w:pPr>
            <w:r>
              <w:object w:dxaOrig="4319" w:dyaOrig="2879">
                <v:shape id="_x0000_i1033" type="#_x0000_t75" style="width:286.2pt;height:160.8pt" o:ole="">
                  <v:imagedata r:id="rId56" o:title=""/>
                </v:shape>
                <o:OLEObject Type="Embed" ProgID="Word.Picture.8" ShapeID="_x0000_i1033" DrawAspect="Content" ObjectID="_1584358319" r:id="rId57"/>
              </w:object>
            </w:r>
          </w:p>
        </w:tc>
      </w:tr>
      <w:bookmarkStart w:id="10" w:name="_MON_1316854212"/>
      <w:bookmarkEnd w:id="10"/>
      <w:bookmarkStart w:id="11" w:name="_MON_1316854095"/>
      <w:bookmarkEnd w:id="11"/>
      <w:tr w:rsidR="009166A9" w:rsidTr="001A3E4E">
        <w:trPr>
          <w:trHeight w:val="1418"/>
        </w:trPr>
        <w:tc>
          <w:tcPr>
            <w:tcW w:w="4535" w:type="dxa"/>
          </w:tcPr>
          <w:p w:rsidR="009166A9" w:rsidRDefault="009166A9" w:rsidP="008B00A3">
            <w:pPr>
              <w:pStyle w:val="azkltext-sted"/>
            </w:pPr>
            <w:r>
              <w:object w:dxaOrig="4319" w:dyaOrig="2714">
                <v:shape id="_x0000_i1034" type="#_x0000_t75" style="width:3in;height:135.6pt" o:ole="">
                  <v:imagedata r:id="rId58" o:title=""/>
                </v:shape>
                <o:OLEObject Type="Embed" ProgID="Word.Picture.8" ShapeID="_x0000_i1034" DrawAspect="Content" ObjectID="_1584358320" r:id="rId59"/>
              </w:object>
            </w:r>
          </w:p>
        </w:tc>
        <w:bookmarkStart w:id="12" w:name="_MON_1316854152"/>
        <w:bookmarkEnd w:id="12"/>
        <w:tc>
          <w:tcPr>
            <w:tcW w:w="4535" w:type="dxa"/>
          </w:tcPr>
          <w:p w:rsidR="009166A9" w:rsidRDefault="009166A9" w:rsidP="008B00A3">
            <w:pPr>
              <w:pStyle w:val="azkltext-sted"/>
            </w:pPr>
            <w:r>
              <w:object w:dxaOrig="4319" w:dyaOrig="2534">
                <v:shape id="_x0000_i1035" type="#_x0000_t75" style="width:3in;height:126.6pt" o:ole="">
                  <v:imagedata r:id="rId60" o:title=""/>
                </v:shape>
                <o:OLEObject Type="Embed" ProgID="Word.Picture.8" ShapeID="_x0000_i1035" DrawAspect="Content" ObjectID="_1584358321" r:id="rId61"/>
              </w:object>
            </w:r>
          </w:p>
        </w:tc>
      </w:tr>
    </w:tbl>
    <w:p w:rsidR="001A3E4E" w:rsidRDefault="001A3E4E" w:rsidP="001A3E4E">
      <w:pPr>
        <w:pStyle w:val="M-2"/>
        <w:ind w:firstLine="0"/>
        <w:jc w:val="center"/>
      </w:pPr>
    </w:p>
    <w:p w:rsidR="001A3E4E" w:rsidRDefault="001A3E4E" w:rsidP="001057A7">
      <w:pPr>
        <w:pStyle w:val="M-2"/>
      </w:pPr>
    </w:p>
    <w:p w:rsidR="008B00A3" w:rsidRDefault="008B00A3" w:rsidP="001057A7">
      <w:pPr>
        <w:pStyle w:val="M-2"/>
      </w:pPr>
      <w:r>
        <w:t xml:space="preserve">Tabulka </w:t>
      </w:r>
      <w:fldSimple w:instr=" SEQ Tabulka \* ARABIC ">
        <w:r>
          <w:rPr>
            <w:noProof/>
          </w:rPr>
          <w:t>3</w:t>
        </w:r>
      </w:fldSimple>
      <w:r>
        <w:t xml:space="preserve"> Podíl jednotlivých ropovodů na dopravě ropy v %</w:t>
      </w:r>
      <w:r w:rsidR="001412D0">
        <w:t xml:space="preserve"> </w:t>
      </w:r>
      <w:sdt>
        <w:sdtPr>
          <w:id w:val="-452713645"/>
          <w:citation/>
        </w:sdtPr>
        <w:sdtContent>
          <w:r w:rsidR="001412D0">
            <w:fldChar w:fldCharType="begin"/>
          </w:r>
          <w:r w:rsidR="001412D0">
            <w:instrText xml:space="preserve"> CITATION ropa3 \l 1029 </w:instrText>
          </w:r>
          <w:r w:rsidR="001412D0">
            <w:fldChar w:fldCharType="separate"/>
          </w:r>
          <w:r w:rsidR="001412D0">
            <w:rPr>
              <w:noProof/>
            </w:rPr>
            <w:t>[6]</w:t>
          </w:r>
          <w:r w:rsidR="001412D0">
            <w:fldChar w:fldCharType="end"/>
          </w:r>
        </w:sdtContent>
      </w:sdt>
    </w:p>
    <w:p w:rsidR="00296EA9" w:rsidRDefault="00296EA9" w:rsidP="00296EA9">
      <w:pPr>
        <w:pStyle w:val="M-2"/>
        <w:ind w:firstLine="0"/>
      </w:pPr>
      <w:r w:rsidRPr="00296EA9">
        <w:rPr>
          <w:noProof/>
        </w:rPr>
        <w:drawing>
          <wp:inline distT="0" distB="0" distL="0" distR="0">
            <wp:extent cx="5759450" cy="67037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670374"/>
                    </a:xfrm>
                    <a:prstGeom prst="rect">
                      <a:avLst/>
                    </a:prstGeom>
                    <a:noFill/>
                    <a:ln>
                      <a:noFill/>
                    </a:ln>
                  </pic:spPr>
                </pic:pic>
              </a:graphicData>
            </a:graphic>
          </wp:inline>
        </w:drawing>
      </w:r>
    </w:p>
    <w:p w:rsidR="00296EA9" w:rsidRDefault="00296EA9" w:rsidP="00296EA9">
      <w:pPr>
        <w:pStyle w:val="M-2"/>
        <w:ind w:firstLine="0"/>
      </w:pPr>
    </w:p>
    <w:p w:rsidR="00296EA9" w:rsidRDefault="00296EA9" w:rsidP="001057A7">
      <w:pPr>
        <w:pStyle w:val="M-2"/>
      </w:pPr>
    </w:p>
    <w:p w:rsidR="00FF2BDE" w:rsidRDefault="001A3E4E" w:rsidP="00B2251A">
      <w:pPr>
        <w:pStyle w:val="azkladntext"/>
        <w:tabs>
          <w:tab w:val="clear" w:pos="709"/>
        </w:tabs>
        <w:ind w:firstLine="0"/>
        <w:jc w:val="center"/>
      </w:pPr>
      <w:r>
        <w:rPr>
          <w:noProof/>
        </w:rPr>
        <w:drawing>
          <wp:inline distT="0" distB="0" distL="0" distR="0" wp14:anchorId="7F79CB2D" wp14:editId="287103D4">
            <wp:extent cx="5284470" cy="2880360"/>
            <wp:effectExtent l="0" t="0" r="11430" b="1524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412D0" w:rsidRDefault="001412D0" w:rsidP="001412D0">
      <w:pPr>
        <w:pStyle w:val="azkltext-sted"/>
      </w:pPr>
      <w:r>
        <w:t xml:space="preserve">Obrázek </w:t>
      </w:r>
      <w:fldSimple w:instr=" SEQ Obrázek \* ARABIC ">
        <w:r>
          <w:rPr>
            <w:noProof/>
          </w:rPr>
          <w:t>5</w:t>
        </w:r>
      </w:fldSimple>
      <w:r>
        <w:t xml:space="preserve"> Přehled množství dovážené ropy a finančních výdajů </w:t>
      </w:r>
      <w:sdt>
        <w:sdtPr>
          <w:id w:val="-1594000109"/>
          <w:citation/>
        </w:sdtPr>
        <w:sdtContent>
          <w:r>
            <w:fldChar w:fldCharType="begin"/>
          </w:r>
          <w:r>
            <w:instrText xml:space="preserve"> CITATION ropa3 \l 1029 </w:instrText>
          </w:r>
          <w:r>
            <w:fldChar w:fldCharType="separate"/>
          </w:r>
          <w:r>
            <w:rPr>
              <w:noProof/>
            </w:rPr>
            <w:t>[6]</w:t>
          </w:r>
          <w:r>
            <w:fldChar w:fldCharType="end"/>
          </w:r>
        </w:sdtContent>
      </w:sdt>
    </w:p>
    <w:p w:rsidR="0082763B" w:rsidRDefault="0082763B" w:rsidP="006A1765">
      <w:pPr>
        <w:pStyle w:val="M-2"/>
        <w:ind w:firstLine="180"/>
      </w:pPr>
    </w:p>
    <w:p w:rsidR="009B0C81" w:rsidRDefault="001D6B93" w:rsidP="001057A7">
      <w:pPr>
        <w:pStyle w:val="Nadpis3"/>
        <w:ind w:left="0" w:firstLine="0"/>
      </w:pPr>
      <w:bookmarkStart w:id="13" w:name="_Ropa_v_České"/>
      <w:bookmarkEnd w:id="13"/>
      <w:r>
        <w:t>Ropa v Č</w:t>
      </w:r>
      <w:r w:rsidR="0004344F">
        <w:t>eské republice</w:t>
      </w:r>
    </w:p>
    <w:p w:rsidR="0004344F" w:rsidRDefault="0004344F" w:rsidP="006A1765">
      <w:pPr>
        <w:pStyle w:val="M-2"/>
        <w:ind w:firstLine="180"/>
      </w:pPr>
      <w:r>
        <w:t>Na území ČR se ropa nachází především v oblasti jižní Moravy, kde se těží od roku 1913. Dalšími perspektivními oblastmi pro těžbu ropy jsou lokality na severní Moravě (Ostravsko, Jeseníky</w:t>
      </w:r>
      <w:bookmarkStart w:id="14" w:name="_GoBack"/>
      <w:bookmarkEnd w:id="14"/>
      <w:r>
        <w:t>, Beskydy).</w:t>
      </w:r>
    </w:p>
    <w:p w:rsidR="00517B54" w:rsidRDefault="0039076E" w:rsidP="00891862">
      <w:pPr>
        <w:pStyle w:val="Titulek"/>
      </w:pPr>
      <w:r w:rsidRPr="00891862">
        <w:rPr>
          <w:b w:val="0"/>
          <w:noProof/>
          <w:sz w:val="24"/>
          <w:szCs w:val="24"/>
        </w:rPr>
        <w:lastRenderedPageBreak/>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713740</wp:posOffset>
                </wp:positionV>
                <wp:extent cx="342900" cy="886460"/>
                <wp:effectExtent l="0" t="0" r="4445" b="3175"/>
                <wp:wrapNone/>
                <wp:docPr id="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2D0" w:rsidRPr="00517B54" w:rsidRDefault="001412D0" w:rsidP="00891862">
                            <w:pPr>
                              <w:rPr>
                                <w:b/>
                                <w:sz w:val="22"/>
                                <w:szCs w:val="22"/>
                              </w:rPr>
                            </w:pPr>
                            <w:r>
                              <w:rPr>
                                <w:b/>
                                <w:sz w:val="22"/>
                                <w:szCs w:val="22"/>
                              </w:rPr>
                              <w:t>těžba v m</w:t>
                            </w:r>
                            <w:r w:rsidRPr="00517B54">
                              <w:rPr>
                                <w:b/>
                                <w:sz w:val="22"/>
                                <w:szCs w:val="22"/>
                                <w:vertAlign w:val="superscript"/>
                              </w:rPr>
                              <w:t>3</w:t>
                            </w:r>
                            <w:r w:rsidRPr="00517B54">
                              <w:rPr>
                                <w:b/>
                                <w:sz w:val="22"/>
                                <w:szCs w:val="22"/>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26" type="#_x0000_t202" style="position:absolute;margin-left:0;margin-top:56.2pt;width:27pt;height:6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" filled="f" stroked="f">
                <v:textbox style="layout-flow:vertical;mso-layout-flow-alt:bottom-to-top">
                  <w:txbxContent>
                    <w:p w:rsidR="001412D0" w:rsidRPr="00517B54" w:rsidRDefault="001412D0" w:rsidP="00891862">
                      <w:pPr>
                        <w:rPr>
                          <w:b/>
                          <w:sz w:val="22"/>
                          <w:szCs w:val="22"/>
                        </w:rPr>
                      </w:pPr>
                      <w:r>
                        <w:rPr>
                          <w:b/>
                          <w:sz w:val="22"/>
                          <w:szCs w:val="22"/>
                        </w:rPr>
                        <w:t>těžba v m</w:t>
                      </w:r>
                      <w:r w:rsidRPr="00517B54">
                        <w:rPr>
                          <w:b/>
                          <w:sz w:val="22"/>
                          <w:szCs w:val="22"/>
                          <w:vertAlign w:val="superscript"/>
                        </w:rPr>
                        <w:t>3</w:t>
                      </w:r>
                      <w:r w:rsidRPr="00517B54">
                        <w:rPr>
                          <w:b/>
                          <w:sz w:val="22"/>
                          <w:szCs w:val="22"/>
                        </w:rPr>
                        <w:t xml:space="preserve"> </w:t>
                      </w:r>
                    </w:p>
                  </w:txbxContent>
                </v:textbox>
              </v:shape>
            </w:pict>
          </mc:Fallback>
        </mc:AlternateContent>
      </w:r>
      <w:r w:rsidR="00891862">
        <w:t xml:space="preserve">       </w:t>
      </w:r>
      <w:r>
        <w:rPr>
          <w:noProof/>
        </w:rPr>
        <w:drawing>
          <wp:inline distT="0" distB="0" distL="0" distR="0" wp14:anchorId="17BA9BEF" wp14:editId="6CFCCECD">
            <wp:extent cx="3848100" cy="2660650"/>
            <wp:effectExtent l="0" t="0" r="0" b="0"/>
            <wp:docPr id="20" name="objek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91862" w:rsidRDefault="00891862" w:rsidP="0087257A">
      <w:pPr>
        <w:pStyle w:val="Titulek"/>
        <w:tabs>
          <w:tab w:val="left" w:pos="2340"/>
        </w:tabs>
        <w:rPr>
          <w:b w:val="0"/>
          <w:sz w:val="24"/>
          <w:szCs w:val="24"/>
        </w:rPr>
      </w:pPr>
      <w:r>
        <w:tab/>
      </w:r>
      <w:r w:rsidRPr="0087257A">
        <w:rPr>
          <w:b w:val="0"/>
          <w:sz w:val="24"/>
          <w:szCs w:val="24"/>
        </w:rPr>
        <w:t xml:space="preserve">  graf </w:t>
      </w:r>
      <w:r w:rsidRPr="0087257A">
        <w:rPr>
          <w:b w:val="0"/>
          <w:sz w:val="24"/>
          <w:szCs w:val="24"/>
        </w:rPr>
        <w:fldChar w:fldCharType="begin"/>
      </w:r>
      <w:r w:rsidRPr="0087257A">
        <w:rPr>
          <w:b w:val="0"/>
          <w:sz w:val="24"/>
          <w:szCs w:val="24"/>
        </w:rPr>
        <w:instrText xml:space="preserve"> SEQ graf \* ARABIC </w:instrText>
      </w:r>
      <w:r w:rsidRPr="0087257A">
        <w:rPr>
          <w:b w:val="0"/>
          <w:sz w:val="24"/>
          <w:szCs w:val="24"/>
        </w:rPr>
        <w:fldChar w:fldCharType="separate"/>
      </w:r>
      <w:r w:rsidR="0014093B">
        <w:rPr>
          <w:b w:val="0"/>
          <w:noProof/>
          <w:sz w:val="24"/>
          <w:szCs w:val="24"/>
        </w:rPr>
        <w:t>2</w:t>
      </w:r>
      <w:r w:rsidRPr="0087257A">
        <w:rPr>
          <w:b w:val="0"/>
          <w:sz w:val="24"/>
          <w:szCs w:val="24"/>
        </w:rPr>
        <w:fldChar w:fldCharType="end"/>
      </w:r>
      <w:r w:rsidRPr="0087257A">
        <w:rPr>
          <w:b w:val="0"/>
          <w:sz w:val="24"/>
          <w:szCs w:val="24"/>
        </w:rPr>
        <w:t xml:space="preserve"> Vývoj těžby ropy na území ČR</w:t>
      </w:r>
    </w:p>
    <w:p w:rsidR="00046063" w:rsidRDefault="00046063" w:rsidP="00046063"/>
    <w:p w:rsidR="00FF2BDE" w:rsidRPr="00EC4BE9" w:rsidRDefault="00824A89" w:rsidP="00824A89">
      <w:pPr>
        <w:pStyle w:val="Nadpis2"/>
      </w:pPr>
      <w:r>
        <w:t>Zpracování ropy v ČR</w:t>
      </w:r>
    </w:p>
    <w:p w:rsidR="00FF2BDE" w:rsidRPr="00591134" w:rsidRDefault="009B4B0C" w:rsidP="00B4291C">
      <w:pPr>
        <w:pStyle w:val="azkladntext"/>
        <w:tabs>
          <w:tab w:val="clear" w:pos="709"/>
        </w:tabs>
        <w:ind w:firstLine="0"/>
        <w:jc w:val="left"/>
      </w:pPr>
      <w:r>
        <w:rPr>
          <w:noProof/>
        </w:rPr>
        <w:drawing>
          <wp:inline distT="0" distB="0" distL="0" distR="0" wp14:anchorId="6355F695" wp14:editId="317E1258">
            <wp:extent cx="5657850" cy="340804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F2BDE" w:rsidRDefault="00FF2BDE" w:rsidP="00FF2BDE">
      <w:pPr>
        <w:pStyle w:val="azkltext-sted"/>
      </w:pPr>
      <w:r>
        <w:t xml:space="preserve">graf </w:t>
      </w:r>
      <w:fldSimple w:instr=" SEQ graf \* ARABIC ">
        <w:r w:rsidR="0014093B">
          <w:rPr>
            <w:noProof/>
          </w:rPr>
          <w:t>3</w:t>
        </w:r>
      </w:fldSimple>
      <w:r>
        <w:t xml:space="preserve">  Přehled zpracování ropy v</w:t>
      </w:r>
      <w:r w:rsidR="001A3E4E">
        <w:t> </w:t>
      </w:r>
      <w:r>
        <w:t>ČR</w:t>
      </w:r>
      <w:r w:rsidR="001A3E4E">
        <w:t xml:space="preserve"> </w:t>
      </w:r>
      <w:sdt>
        <w:sdtPr>
          <w:id w:val="-1845631617"/>
          <w:citation/>
        </w:sdtPr>
        <w:sdtContent>
          <w:r w:rsidR="001A3E4E">
            <w:fldChar w:fldCharType="begin"/>
          </w:r>
          <w:r w:rsidR="001A3E4E">
            <w:instrText xml:space="preserve"> CITATION ropa3 \l 1029 </w:instrText>
          </w:r>
          <w:r w:rsidR="001A3E4E">
            <w:fldChar w:fldCharType="separate"/>
          </w:r>
          <w:r w:rsidR="001A3E4E">
            <w:rPr>
              <w:noProof/>
            </w:rPr>
            <w:t>[4]</w:t>
          </w:r>
          <w:r w:rsidR="001A3E4E">
            <w:fldChar w:fldCharType="end"/>
          </w:r>
        </w:sdtContent>
      </w:sdt>
    </w:p>
    <w:p w:rsidR="00046063" w:rsidRDefault="009B4B0C" w:rsidP="009B4B0C">
      <w:pPr>
        <w:pStyle w:val="azkladntext"/>
      </w:pPr>
      <w:r>
        <w:t>Z grafického vyjádření je patrné, že poklesla hodnota množství zpravované ropy v</w:t>
      </w:r>
      <w:r w:rsidR="001A3E4E">
        <w:t> </w:t>
      </w:r>
      <w:r>
        <w:t>ČR</w:t>
      </w:r>
      <w:r w:rsidR="00C416C5">
        <w:t>. Na druhé straně byl významným způsobem zvýšen dovoz finálních ropných produktů prostřednictvím řady soukromých společností.</w:t>
      </w:r>
    </w:p>
    <w:p w:rsidR="00FF2BDE" w:rsidRDefault="00FF2BDE" w:rsidP="009B4B0C">
      <w:pPr>
        <w:pStyle w:val="azkladntext"/>
      </w:pPr>
    </w:p>
    <w:p w:rsidR="00FF2BDE" w:rsidRPr="00046063" w:rsidRDefault="00FF2BDE" w:rsidP="00046063"/>
    <w:p w:rsidR="00CB2724" w:rsidRDefault="00CB2724" w:rsidP="003C5C06">
      <w:pPr>
        <w:pStyle w:val="M-2"/>
        <w:sectPr w:rsidR="00CB2724" w:rsidSect="00B4291C">
          <w:footerReference w:type="even" r:id="rId66"/>
          <w:footerReference w:type="default" r:id="rId67"/>
          <w:pgSz w:w="11906" w:h="16838"/>
          <w:pgMar w:top="1418" w:right="1418" w:bottom="1418" w:left="1418" w:header="709" w:footer="709" w:gutter="0"/>
          <w:cols w:space="708"/>
          <w:docGrid w:linePitch="360"/>
        </w:sectPr>
      </w:pPr>
    </w:p>
    <w:p w:rsidR="001C768A" w:rsidRDefault="001C768A" w:rsidP="00261927">
      <w:pPr>
        <w:pStyle w:val="M-2"/>
      </w:pPr>
    </w:p>
    <w:p w:rsidR="001C768A" w:rsidRDefault="001C768A" w:rsidP="008A1FFC">
      <w:pPr>
        <w:pStyle w:val="M-2"/>
        <w:ind w:firstLine="0"/>
      </w:pPr>
    </w:p>
    <w:sectPr w:rsidR="001C76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F22" w:rsidRDefault="008F3F22">
      <w:r>
        <w:separator/>
      </w:r>
    </w:p>
  </w:endnote>
  <w:endnote w:type="continuationSeparator" w:id="0">
    <w:p w:rsidR="008F3F22" w:rsidRDefault="008F3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Zurich Lt BT">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2D0" w:rsidRDefault="001412D0" w:rsidP="0036402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8</w:t>
    </w:r>
    <w:r>
      <w:rPr>
        <w:rStyle w:val="slostrnky"/>
      </w:rPr>
      <w:fldChar w:fldCharType="end"/>
    </w:r>
  </w:p>
  <w:p w:rsidR="001412D0" w:rsidRDefault="001412D0">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2D0" w:rsidRDefault="001412D0" w:rsidP="0036402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416C5">
      <w:rPr>
        <w:rStyle w:val="slostrnky"/>
        <w:noProof/>
      </w:rPr>
      <w:t>2</w:t>
    </w:r>
    <w:r>
      <w:rPr>
        <w:rStyle w:val="slostrnky"/>
      </w:rPr>
      <w:fldChar w:fldCharType="end"/>
    </w:r>
  </w:p>
  <w:p w:rsidR="001412D0" w:rsidRDefault="001412D0">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2D0" w:rsidRDefault="001412D0" w:rsidP="0036402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8</w:t>
    </w:r>
    <w:r>
      <w:rPr>
        <w:rStyle w:val="slostrnky"/>
      </w:rPr>
      <w:fldChar w:fldCharType="end"/>
    </w:r>
  </w:p>
  <w:p w:rsidR="001412D0" w:rsidRDefault="001412D0">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2D0" w:rsidRDefault="001412D0" w:rsidP="0036402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416C5">
      <w:rPr>
        <w:rStyle w:val="slostrnky"/>
        <w:noProof/>
      </w:rPr>
      <w:t>21</w:t>
    </w:r>
    <w:r>
      <w:rPr>
        <w:rStyle w:val="slostrnky"/>
      </w:rPr>
      <w:fldChar w:fldCharType="end"/>
    </w:r>
  </w:p>
  <w:p w:rsidR="001412D0" w:rsidRDefault="001412D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F22" w:rsidRDefault="008F3F22">
      <w:r>
        <w:separator/>
      </w:r>
    </w:p>
  </w:footnote>
  <w:footnote w:type="continuationSeparator" w:id="0">
    <w:p w:rsidR="008F3F22" w:rsidRDefault="008F3F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28D"/>
    <w:multiLevelType w:val="multilevel"/>
    <w:tmpl w:val="7B26D042"/>
    <w:lvl w:ilvl="0">
      <w:start w:val="1"/>
      <w:numFmt w:val="decimal"/>
      <w:pStyle w:val="StylNadpis1"/>
      <w:lvlText w:val="%1"/>
      <w:lvlJc w:val="left"/>
      <w:pPr>
        <w:tabs>
          <w:tab w:val="num" w:pos="360"/>
        </w:tabs>
        <w:ind w:left="360" w:hanging="360"/>
      </w:pPr>
      <w:rPr>
        <w:rFonts w:ascii="Arial" w:hAnsi="Arial" w:hint="default"/>
        <w:b/>
        <w:i w:val="0"/>
        <w:sz w:val="32"/>
      </w:rPr>
    </w:lvl>
    <w:lvl w:ilvl="1">
      <w:start w:val="1"/>
      <w:numFmt w:val="decimal"/>
      <w:lvlText w:val="%1.%2"/>
      <w:lvlJc w:val="left"/>
      <w:pPr>
        <w:tabs>
          <w:tab w:val="num" w:pos="680"/>
        </w:tabs>
        <w:ind w:left="510" w:hanging="510"/>
      </w:pPr>
      <w:rPr>
        <w:rFonts w:ascii="Arial" w:hAnsi="Arial" w:hint="default"/>
        <w:b/>
        <w:i w:val="0"/>
        <w:sz w:val="28"/>
      </w:rPr>
    </w:lvl>
    <w:lvl w:ilvl="2">
      <w:start w:val="1"/>
      <w:numFmt w:val="decimal"/>
      <w:lvlText w:val="%1.%2.%3"/>
      <w:lvlJc w:val="left"/>
      <w:pPr>
        <w:tabs>
          <w:tab w:val="num" w:pos="680"/>
        </w:tabs>
        <w:ind w:left="964" w:hanging="964"/>
      </w:pPr>
      <w:rPr>
        <w:rFonts w:ascii="Arial" w:hAnsi="Arial"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1E6767"/>
    <w:multiLevelType w:val="singleLevel"/>
    <w:tmpl w:val="7B68B9B6"/>
    <w:lvl w:ilvl="0">
      <w:start w:val="1"/>
      <w:numFmt w:val="bullet"/>
      <w:pStyle w:val="111"/>
      <w:lvlText w:val=""/>
      <w:lvlJc w:val="left"/>
      <w:pPr>
        <w:tabs>
          <w:tab w:val="num" w:pos="927"/>
        </w:tabs>
        <w:ind w:left="907" w:hanging="340"/>
      </w:pPr>
      <w:rPr>
        <w:rFonts w:ascii="Symbol" w:hAnsi="Symbol" w:hint="default"/>
      </w:rPr>
    </w:lvl>
  </w:abstractNum>
  <w:abstractNum w:abstractNumId="2" w15:restartNumberingAfterBreak="0">
    <w:nsid w:val="075D2E7A"/>
    <w:multiLevelType w:val="hybridMultilevel"/>
    <w:tmpl w:val="51B87632"/>
    <w:lvl w:ilvl="0" w:tplc="40765302">
      <w:numFmt w:val="bullet"/>
      <w:lvlText w:val=""/>
      <w:lvlJc w:val="left"/>
      <w:pPr>
        <w:tabs>
          <w:tab w:val="num" w:pos="1440"/>
        </w:tabs>
        <w:ind w:left="1440" w:hanging="360"/>
      </w:pPr>
      <w:rPr>
        <w:rFonts w:ascii="Symbol" w:eastAsia="Times New Roman" w:hAnsi="Symbol" w:cs="Times New Roman" w:hint="default"/>
        <w:color w:val="auto"/>
      </w:rPr>
    </w:lvl>
    <w:lvl w:ilvl="1" w:tplc="04050003" w:tentative="1">
      <w:start w:val="1"/>
      <w:numFmt w:val="bullet"/>
      <w:lvlText w:val="o"/>
      <w:lvlJc w:val="left"/>
      <w:pPr>
        <w:tabs>
          <w:tab w:val="num" w:pos="-582"/>
        </w:tabs>
        <w:ind w:left="-582" w:hanging="360"/>
      </w:pPr>
      <w:rPr>
        <w:rFonts w:ascii="Courier New" w:hAnsi="Courier New" w:hint="default"/>
      </w:rPr>
    </w:lvl>
    <w:lvl w:ilvl="2" w:tplc="04050005" w:tentative="1">
      <w:start w:val="1"/>
      <w:numFmt w:val="bullet"/>
      <w:lvlText w:val=""/>
      <w:lvlJc w:val="left"/>
      <w:pPr>
        <w:tabs>
          <w:tab w:val="num" w:pos="138"/>
        </w:tabs>
        <w:ind w:left="138" w:hanging="360"/>
      </w:pPr>
      <w:rPr>
        <w:rFonts w:ascii="Wingdings" w:hAnsi="Wingdings" w:hint="default"/>
      </w:rPr>
    </w:lvl>
    <w:lvl w:ilvl="3" w:tplc="04050001" w:tentative="1">
      <w:start w:val="1"/>
      <w:numFmt w:val="bullet"/>
      <w:lvlText w:val=""/>
      <w:lvlJc w:val="left"/>
      <w:pPr>
        <w:tabs>
          <w:tab w:val="num" w:pos="858"/>
        </w:tabs>
        <w:ind w:left="858" w:hanging="360"/>
      </w:pPr>
      <w:rPr>
        <w:rFonts w:ascii="Symbol" w:hAnsi="Symbol" w:hint="default"/>
      </w:rPr>
    </w:lvl>
    <w:lvl w:ilvl="4" w:tplc="04050003" w:tentative="1">
      <w:start w:val="1"/>
      <w:numFmt w:val="bullet"/>
      <w:lvlText w:val="o"/>
      <w:lvlJc w:val="left"/>
      <w:pPr>
        <w:tabs>
          <w:tab w:val="num" w:pos="1578"/>
        </w:tabs>
        <w:ind w:left="1578" w:hanging="360"/>
      </w:pPr>
      <w:rPr>
        <w:rFonts w:ascii="Courier New" w:hAnsi="Courier New" w:hint="default"/>
      </w:rPr>
    </w:lvl>
    <w:lvl w:ilvl="5" w:tplc="04050005" w:tentative="1">
      <w:start w:val="1"/>
      <w:numFmt w:val="bullet"/>
      <w:lvlText w:val=""/>
      <w:lvlJc w:val="left"/>
      <w:pPr>
        <w:tabs>
          <w:tab w:val="num" w:pos="2298"/>
        </w:tabs>
        <w:ind w:left="2298" w:hanging="360"/>
      </w:pPr>
      <w:rPr>
        <w:rFonts w:ascii="Wingdings" w:hAnsi="Wingdings" w:hint="default"/>
      </w:rPr>
    </w:lvl>
    <w:lvl w:ilvl="6" w:tplc="04050001" w:tentative="1">
      <w:start w:val="1"/>
      <w:numFmt w:val="bullet"/>
      <w:lvlText w:val=""/>
      <w:lvlJc w:val="left"/>
      <w:pPr>
        <w:tabs>
          <w:tab w:val="num" w:pos="3018"/>
        </w:tabs>
        <w:ind w:left="3018" w:hanging="360"/>
      </w:pPr>
      <w:rPr>
        <w:rFonts w:ascii="Symbol" w:hAnsi="Symbol" w:hint="default"/>
      </w:rPr>
    </w:lvl>
    <w:lvl w:ilvl="7" w:tplc="04050003" w:tentative="1">
      <w:start w:val="1"/>
      <w:numFmt w:val="bullet"/>
      <w:lvlText w:val="o"/>
      <w:lvlJc w:val="left"/>
      <w:pPr>
        <w:tabs>
          <w:tab w:val="num" w:pos="3738"/>
        </w:tabs>
        <w:ind w:left="3738" w:hanging="360"/>
      </w:pPr>
      <w:rPr>
        <w:rFonts w:ascii="Courier New" w:hAnsi="Courier New" w:hint="default"/>
      </w:rPr>
    </w:lvl>
    <w:lvl w:ilvl="8" w:tplc="04050005" w:tentative="1">
      <w:start w:val="1"/>
      <w:numFmt w:val="bullet"/>
      <w:lvlText w:val=""/>
      <w:lvlJc w:val="left"/>
      <w:pPr>
        <w:tabs>
          <w:tab w:val="num" w:pos="4458"/>
        </w:tabs>
        <w:ind w:left="4458" w:hanging="360"/>
      </w:pPr>
      <w:rPr>
        <w:rFonts w:ascii="Wingdings" w:hAnsi="Wingdings" w:hint="default"/>
      </w:rPr>
    </w:lvl>
  </w:abstractNum>
  <w:abstractNum w:abstractNumId="3" w15:restartNumberingAfterBreak="0">
    <w:nsid w:val="07C40C70"/>
    <w:multiLevelType w:val="singleLevel"/>
    <w:tmpl w:val="9190B5F6"/>
    <w:lvl w:ilvl="0">
      <w:start w:val="1"/>
      <w:numFmt w:val="decimal"/>
      <w:lvlText w:val="%1)"/>
      <w:lvlJc w:val="left"/>
      <w:pPr>
        <w:tabs>
          <w:tab w:val="num" w:pos="360"/>
        </w:tabs>
        <w:ind w:left="360" w:hanging="360"/>
      </w:pPr>
      <w:rPr>
        <w:rFonts w:hint="default"/>
        <w:sz w:val="24"/>
      </w:rPr>
    </w:lvl>
  </w:abstractNum>
  <w:abstractNum w:abstractNumId="4" w15:restartNumberingAfterBreak="0">
    <w:nsid w:val="085F5AB4"/>
    <w:multiLevelType w:val="multilevel"/>
    <w:tmpl w:val="646E29D0"/>
    <w:lvl w:ilvl="0">
      <w:start w:val="1"/>
      <w:numFmt w:val="none"/>
      <w:pStyle w:val="Upozornn"/>
      <w:lvlText w:val="Poznámka:"/>
      <w:lvlJc w:val="left"/>
      <w:pPr>
        <w:tabs>
          <w:tab w:val="num" w:pos="1800"/>
        </w:tabs>
        <w:ind w:left="0" w:firstLine="0"/>
      </w:pPr>
      <w:rPr>
        <w:rFonts w:ascii="Times New Roman" w:hAnsi="Times New Roman" w:hint="default"/>
        <w:b/>
        <w:i/>
        <w:sz w:val="24"/>
        <w:szCs w:val="24"/>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08B077EE"/>
    <w:multiLevelType w:val="hybridMultilevel"/>
    <w:tmpl w:val="48F66762"/>
    <w:lvl w:ilvl="0" w:tplc="40765302">
      <w:numFmt w:val="bullet"/>
      <w:lvlText w:val=""/>
      <w:lvlJc w:val="left"/>
      <w:pPr>
        <w:tabs>
          <w:tab w:val="num" w:pos="1440"/>
        </w:tabs>
        <w:ind w:left="1440" w:hanging="360"/>
      </w:pPr>
      <w:rPr>
        <w:rFonts w:ascii="Symbol" w:eastAsia="Times New Roman" w:hAnsi="Symbol" w:cs="Times New Roman" w:hint="default"/>
        <w:color w:val="auto"/>
      </w:rPr>
    </w:lvl>
    <w:lvl w:ilvl="1" w:tplc="0405000F">
      <w:start w:val="1"/>
      <w:numFmt w:val="decimal"/>
      <w:lvlText w:val="%2."/>
      <w:lvlJc w:val="left"/>
      <w:pPr>
        <w:tabs>
          <w:tab w:val="num" w:pos="-582"/>
        </w:tabs>
        <w:ind w:left="-582" w:hanging="360"/>
      </w:pPr>
      <w:rPr>
        <w:rFonts w:hint="default"/>
        <w:color w:val="auto"/>
      </w:rPr>
    </w:lvl>
    <w:lvl w:ilvl="2" w:tplc="04050005" w:tentative="1">
      <w:start w:val="1"/>
      <w:numFmt w:val="bullet"/>
      <w:lvlText w:val=""/>
      <w:lvlJc w:val="left"/>
      <w:pPr>
        <w:tabs>
          <w:tab w:val="num" w:pos="138"/>
        </w:tabs>
        <w:ind w:left="138" w:hanging="360"/>
      </w:pPr>
      <w:rPr>
        <w:rFonts w:ascii="Wingdings" w:hAnsi="Wingdings" w:hint="default"/>
      </w:rPr>
    </w:lvl>
    <w:lvl w:ilvl="3" w:tplc="04050001" w:tentative="1">
      <w:start w:val="1"/>
      <w:numFmt w:val="bullet"/>
      <w:lvlText w:val=""/>
      <w:lvlJc w:val="left"/>
      <w:pPr>
        <w:tabs>
          <w:tab w:val="num" w:pos="858"/>
        </w:tabs>
        <w:ind w:left="858" w:hanging="360"/>
      </w:pPr>
      <w:rPr>
        <w:rFonts w:ascii="Symbol" w:hAnsi="Symbol" w:hint="default"/>
      </w:rPr>
    </w:lvl>
    <w:lvl w:ilvl="4" w:tplc="04050003" w:tentative="1">
      <w:start w:val="1"/>
      <w:numFmt w:val="bullet"/>
      <w:lvlText w:val="o"/>
      <w:lvlJc w:val="left"/>
      <w:pPr>
        <w:tabs>
          <w:tab w:val="num" w:pos="1578"/>
        </w:tabs>
        <w:ind w:left="1578" w:hanging="360"/>
      </w:pPr>
      <w:rPr>
        <w:rFonts w:ascii="Courier New" w:hAnsi="Courier New" w:hint="default"/>
      </w:rPr>
    </w:lvl>
    <w:lvl w:ilvl="5" w:tplc="04050005" w:tentative="1">
      <w:start w:val="1"/>
      <w:numFmt w:val="bullet"/>
      <w:lvlText w:val=""/>
      <w:lvlJc w:val="left"/>
      <w:pPr>
        <w:tabs>
          <w:tab w:val="num" w:pos="2298"/>
        </w:tabs>
        <w:ind w:left="2298" w:hanging="360"/>
      </w:pPr>
      <w:rPr>
        <w:rFonts w:ascii="Wingdings" w:hAnsi="Wingdings" w:hint="default"/>
      </w:rPr>
    </w:lvl>
    <w:lvl w:ilvl="6" w:tplc="04050001" w:tentative="1">
      <w:start w:val="1"/>
      <w:numFmt w:val="bullet"/>
      <w:lvlText w:val=""/>
      <w:lvlJc w:val="left"/>
      <w:pPr>
        <w:tabs>
          <w:tab w:val="num" w:pos="3018"/>
        </w:tabs>
        <w:ind w:left="3018" w:hanging="360"/>
      </w:pPr>
      <w:rPr>
        <w:rFonts w:ascii="Symbol" w:hAnsi="Symbol" w:hint="default"/>
      </w:rPr>
    </w:lvl>
    <w:lvl w:ilvl="7" w:tplc="04050003" w:tentative="1">
      <w:start w:val="1"/>
      <w:numFmt w:val="bullet"/>
      <w:lvlText w:val="o"/>
      <w:lvlJc w:val="left"/>
      <w:pPr>
        <w:tabs>
          <w:tab w:val="num" w:pos="3738"/>
        </w:tabs>
        <w:ind w:left="3738" w:hanging="360"/>
      </w:pPr>
      <w:rPr>
        <w:rFonts w:ascii="Courier New" w:hAnsi="Courier New" w:hint="default"/>
      </w:rPr>
    </w:lvl>
    <w:lvl w:ilvl="8" w:tplc="04050005" w:tentative="1">
      <w:start w:val="1"/>
      <w:numFmt w:val="bullet"/>
      <w:lvlText w:val=""/>
      <w:lvlJc w:val="left"/>
      <w:pPr>
        <w:tabs>
          <w:tab w:val="num" w:pos="4458"/>
        </w:tabs>
        <w:ind w:left="4458" w:hanging="360"/>
      </w:pPr>
      <w:rPr>
        <w:rFonts w:ascii="Wingdings" w:hAnsi="Wingdings" w:hint="default"/>
      </w:rPr>
    </w:lvl>
  </w:abstractNum>
  <w:abstractNum w:abstractNumId="6" w15:restartNumberingAfterBreak="0">
    <w:nsid w:val="0BE8620C"/>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1AE7693"/>
    <w:multiLevelType w:val="hybridMultilevel"/>
    <w:tmpl w:val="83164160"/>
    <w:lvl w:ilvl="0" w:tplc="0405000B">
      <w:start w:val="1"/>
      <w:numFmt w:val="bullet"/>
      <w:lvlText w:val=""/>
      <w:lvlJc w:val="left"/>
      <w:pPr>
        <w:tabs>
          <w:tab w:val="num" w:pos="1429"/>
        </w:tabs>
        <w:ind w:left="1429" w:hanging="360"/>
      </w:pPr>
      <w:rPr>
        <w:rFonts w:ascii="Wingdings" w:hAnsi="Wingdings"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59D5FF2"/>
    <w:multiLevelType w:val="hybridMultilevel"/>
    <w:tmpl w:val="893C44A2"/>
    <w:lvl w:ilvl="0" w:tplc="8B1C2394">
      <w:start w:val="1"/>
      <w:numFmt w:val="decimal"/>
      <w:pStyle w:val="Obrzek"/>
      <w:lvlText w:val="Obr. %1"/>
      <w:lvlJc w:val="center"/>
      <w:pPr>
        <w:tabs>
          <w:tab w:val="num" w:pos="907"/>
        </w:tabs>
        <w:ind w:left="907" w:hanging="619"/>
      </w:pPr>
      <w:rPr>
        <w:rFonts w:ascii="Times New Roman" w:hAnsi="Times New Roman" w:hint="default"/>
        <w:b w:val="0"/>
        <w:i w:val="0"/>
        <w:sz w:val="24"/>
        <w:szCs w:val="24"/>
      </w:rPr>
    </w:lvl>
    <w:lvl w:ilvl="1" w:tplc="6E8C90AC">
      <w:start w:val="1"/>
      <w:numFmt w:val="decimal"/>
      <w:lvlText w:val="%2)"/>
      <w:lvlJc w:val="left"/>
      <w:pPr>
        <w:tabs>
          <w:tab w:val="num" w:pos="1440"/>
        </w:tabs>
        <w:ind w:left="1440" w:hanging="360"/>
      </w:pPr>
      <w:rPr>
        <w:rFonts w:hint="default"/>
        <w:b w:val="0"/>
        <w:i w:val="0"/>
        <w:sz w:val="24"/>
        <w:szCs w:val="24"/>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6783B70"/>
    <w:multiLevelType w:val="hybridMultilevel"/>
    <w:tmpl w:val="D8CC8AEA"/>
    <w:lvl w:ilvl="0" w:tplc="D2220484">
      <w:start w:val="1"/>
      <w:numFmt w:val="bullet"/>
      <w:lvlText w:val="•"/>
      <w:lvlJc w:val="left"/>
      <w:pPr>
        <w:tabs>
          <w:tab w:val="num" w:pos="720"/>
        </w:tabs>
        <w:ind w:left="720" w:hanging="360"/>
      </w:pPr>
      <w:rPr>
        <w:rFonts w:ascii="Tahoma" w:hAnsi="Tahoma" w:hint="default"/>
      </w:rPr>
    </w:lvl>
    <w:lvl w:ilvl="1" w:tplc="A224D060" w:tentative="1">
      <w:start w:val="1"/>
      <w:numFmt w:val="bullet"/>
      <w:lvlText w:val="•"/>
      <w:lvlJc w:val="left"/>
      <w:pPr>
        <w:tabs>
          <w:tab w:val="num" w:pos="1440"/>
        </w:tabs>
        <w:ind w:left="1440" w:hanging="360"/>
      </w:pPr>
      <w:rPr>
        <w:rFonts w:ascii="Tahoma" w:hAnsi="Tahoma" w:hint="default"/>
      </w:rPr>
    </w:lvl>
    <w:lvl w:ilvl="2" w:tplc="B3D6BB0E" w:tentative="1">
      <w:start w:val="1"/>
      <w:numFmt w:val="bullet"/>
      <w:lvlText w:val="•"/>
      <w:lvlJc w:val="left"/>
      <w:pPr>
        <w:tabs>
          <w:tab w:val="num" w:pos="2160"/>
        </w:tabs>
        <w:ind w:left="2160" w:hanging="360"/>
      </w:pPr>
      <w:rPr>
        <w:rFonts w:ascii="Tahoma" w:hAnsi="Tahoma" w:hint="default"/>
      </w:rPr>
    </w:lvl>
    <w:lvl w:ilvl="3" w:tplc="AE662E2C" w:tentative="1">
      <w:start w:val="1"/>
      <w:numFmt w:val="bullet"/>
      <w:lvlText w:val="•"/>
      <w:lvlJc w:val="left"/>
      <w:pPr>
        <w:tabs>
          <w:tab w:val="num" w:pos="2880"/>
        </w:tabs>
        <w:ind w:left="2880" w:hanging="360"/>
      </w:pPr>
      <w:rPr>
        <w:rFonts w:ascii="Tahoma" w:hAnsi="Tahoma" w:hint="default"/>
      </w:rPr>
    </w:lvl>
    <w:lvl w:ilvl="4" w:tplc="9AB242FC" w:tentative="1">
      <w:start w:val="1"/>
      <w:numFmt w:val="bullet"/>
      <w:lvlText w:val="•"/>
      <w:lvlJc w:val="left"/>
      <w:pPr>
        <w:tabs>
          <w:tab w:val="num" w:pos="3600"/>
        </w:tabs>
        <w:ind w:left="3600" w:hanging="360"/>
      </w:pPr>
      <w:rPr>
        <w:rFonts w:ascii="Tahoma" w:hAnsi="Tahoma" w:hint="default"/>
      </w:rPr>
    </w:lvl>
    <w:lvl w:ilvl="5" w:tplc="2B7EF188" w:tentative="1">
      <w:start w:val="1"/>
      <w:numFmt w:val="bullet"/>
      <w:lvlText w:val="•"/>
      <w:lvlJc w:val="left"/>
      <w:pPr>
        <w:tabs>
          <w:tab w:val="num" w:pos="4320"/>
        </w:tabs>
        <w:ind w:left="4320" w:hanging="360"/>
      </w:pPr>
      <w:rPr>
        <w:rFonts w:ascii="Tahoma" w:hAnsi="Tahoma" w:hint="default"/>
      </w:rPr>
    </w:lvl>
    <w:lvl w:ilvl="6" w:tplc="84B0E448" w:tentative="1">
      <w:start w:val="1"/>
      <w:numFmt w:val="bullet"/>
      <w:lvlText w:val="•"/>
      <w:lvlJc w:val="left"/>
      <w:pPr>
        <w:tabs>
          <w:tab w:val="num" w:pos="5040"/>
        </w:tabs>
        <w:ind w:left="5040" w:hanging="360"/>
      </w:pPr>
      <w:rPr>
        <w:rFonts w:ascii="Tahoma" w:hAnsi="Tahoma" w:hint="default"/>
      </w:rPr>
    </w:lvl>
    <w:lvl w:ilvl="7" w:tplc="1F708AA4" w:tentative="1">
      <w:start w:val="1"/>
      <w:numFmt w:val="bullet"/>
      <w:lvlText w:val="•"/>
      <w:lvlJc w:val="left"/>
      <w:pPr>
        <w:tabs>
          <w:tab w:val="num" w:pos="5760"/>
        </w:tabs>
        <w:ind w:left="5760" w:hanging="360"/>
      </w:pPr>
      <w:rPr>
        <w:rFonts w:ascii="Tahoma" w:hAnsi="Tahoma" w:hint="default"/>
      </w:rPr>
    </w:lvl>
    <w:lvl w:ilvl="8" w:tplc="52FC075C" w:tentative="1">
      <w:start w:val="1"/>
      <w:numFmt w:val="bullet"/>
      <w:lvlText w:val="•"/>
      <w:lvlJc w:val="left"/>
      <w:pPr>
        <w:tabs>
          <w:tab w:val="num" w:pos="6480"/>
        </w:tabs>
        <w:ind w:left="6480" w:hanging="360"/>
      </w:pPr>
      <w:rPr>
        <w:rFonts w:ascii="Tahoma" w:hAnsi="Tahoma" w:hint="default"/>
      </w:rPr>
    </w:lvl>
  </w:abstractNum>
  <w:abstractNum w:abstractNumId="10" w15:restartNumberingAfterBreak="0">
    <w:nsid w:val="1A9A469A"/>
    <w:multiLevelType w:val="hybridMultilevel"/>
    <w:tmpl w:val="AFAE53DE"/>
    <w:lvl w:ilvl="0" w:tplc="F5347524">
      <w:start w:val="1"/>
      <w:numFmt w:val="decimal"/>
      <w:lvlText w:val="[%1]"/>
      <w:lvlJc w:val="left"/>
      <w:pPr>
        <w:tabs>
          <w:tab w:val="num" w:pos="737"/>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C5C1B9C"/>
    <w:multiLevelType w:val="multilevel"/>
    <w:tmpl w:val="A60247E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0395C58"/>
    <w:multiLevelType w:val="hybridMultilevel"/>
    <w:tmpl w:val="2B6045D4"/>
    <w:lvl w:ilvl="0" w:tplc="04050017">
      <w:start w:val="1"/>
      <w:numFmt w:val="lowerLetter"/>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4657EAA"/>
    <w:multiLevelType w:val="hybridMultilevel"/>
    <w:tmpl w:val="FF8C52EE"/>
    <w:lvl w:ilvl="0" w:tplc="076E7D86">
      <w:start w:val="1"/>
      <w:numFmt w:val="bullet"/>
      <w:lvlText w:val=""/>
      <w:lvlJc w:val="left"/>
      <w:pPr>
        <w:tabs>
          <w:tab w:val="num" w:pos="2136"/>
        </w:tabs>
        <w:ind w:left="2136" w:hanging="360"/>
      </w:pPr>
      <w:rPr>
        <w:rFonts w:ascii="Wingdings" w:hAnsi="Wingdings" w:hint="default"/>
      </w:rPr>
    </w:lvl>
    <w:lvl w:ilvl="1" w:tplc="04050013">
      <w:start w:val="1"/>
      <w:numFmt w:val="upperRoman"/>
      <w:lvlText w:val="%2."/>
      <w:lvlJc w:val="right"/>
      <w:pPr>
        <w:tabs>
          <w:tab w:val="num" w:pos="2676"/>
        </w:tabs>
        <w:ind w:left="2676" w:hanging="180"/>
      </w:pPr>
      <w:rPr>
        <w:rFonts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cs="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cs="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14" w15:restartNumberingAfterBreak="0">
    <w:nsid w:val="2CC12B22"/>
    <w:multiLevelType w:val="hybridMultilevel"/>
    <w:tmpl w:val="DF78BD8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D107AF7"/>
    <w:multiLevelType w:val="multilevel"/>
    <w:tmpl w:val="C58C33DE"/>
    <w:lvl w:ilvl="0">
      <w:start w:val="2"/>
      <w:numFmt w:val="upperLetter"/>
      <w:lvlText w:val="%1."/>
      <w:legacy w:legacy="1" w:legacySpace="120" w:legacyIndent="170"/>
      <w:lvlJc w:val="left"/>
      <w:pPr>
        <w:ind w:left="170" w:hanging="170"/>
      </w:pPr>
    </w:lvl>
    <w:lvl w:ilvl="1">
      <w:start w:val="1"/>
      <w:numFmt w:val="lowerLetter"/>
      <w:lvlText w:val="%2."/>
      <w:legacy w:legacy="1" w:legacySpace="120" w:legacyIndent="360"/>
      <w:lvlJc w:val="left"/>
      <w:pPr>
        <w:ind w:left="530" w:hanging="360"/>
      </w:pPr>
    </w:lvl>
    <w:lvl w:ilvl="2">
      <w:start w:val="1"/>
      <w:numFmt w:val="lowerRoman"/>
      <w:lvlText w:val="%3."/>
      <w:legacy w:legacy="1" w:legacySpace="120" w:legacyIndent="180"/>
      <w:lvlJc w:val="left"/>
      <w:pPr>
        <w:ind w:left="710" w:hanging="180"/>
      </w:pPr>
    </w:lvl>
    <w:lvl w:ilvl="3">
      <w:start w:val="1"/>
      <w:numFmt w:val="decimal"/>
      <w:lvlText w:val="%4."/>
      <w:legacy w:legacy="1" w:legacySpace="120" w:legacyIndent="360"/>
      <w:lvlJc w:val="left"/>
      <w:pPr>
        <w:ind w:left="1070" w:hanging="360"/>
      </w:pPr>
    </w:lvl>
    <w:lvl w:ilvl="4">
      <w:start w:val="1"/>
      <w:numFmt w:val="lowerLetter"/>
      <w:lvlText w:val="%5."/>
      <w:legacy w:legacy="1" w:legacySpace="120" w:legacyIndent="360"/>
      <w:lvlJc w:val="left"/>
      <w:pPr>
        <w:ind w:left="1430" w:hanging="360"/>
      </w:pPr>
    </w:lvl>
    <w:lvl w:ilvl="5">
      <w:start w:val="1"/>
      <w:numFmt w:val="lowerRoman"/>
      <w:lvlText w:val="%6."/>
      <w:legacy w:legacy="1" w:legacySpace="120" w:legacyIndent="180"/>
      <w:lvlJc w:val="left"/>
      <w:pPr>
        <w:ind w:left="1610" w:hanging="180"/>
      </w:pPr>
    </w:lvl>
    <w:lvl w:ilvl="6">
      <w:start w:val="1"/>
      <w:numFmt w:val="decimal"/>
      <w:lvlText w:val="%7."/>
      <w:legacy w:legacy="1" w:legacySpace="120" w:legacyIndent="360"/>
      <w:lvlJc w:val="left"/>
      <w:pPr>
        <w:ind w:left="1970" w:hanging="360"/>
      </w:pPr>
    </w:lvl>
    <w:lvl w:ilvl="7">
      <w:start w:val="1"/>
      <w:numFmt w:val="lowerLetter"/>
      <w:lvlText w:val="%8."/>
      <w:legacy w:legacy="1" w:legacySpace="120" w:legacyIndent="360"/>
      <w:lvlJc w:val="left"/>
      <w:pPr>
        <w:ind w:left="2330" w:hanging="360"/>
      </w:pPr>
    </w:lvl>
    <w:lvl w:ilvl="8">
      <w:start w:val="1"/>
      <w:numFmt w:val="lowerRoman"/>
      <w:lvlText w:val="%9."/>
      <w:legacy w:legacy="1" w:legacySpace="120" w:legacyIndent="180"/>
      <w:lvlJc w:val="left"/>
      <w:pPr>
        <w:ind w:left="2510" w:hanging="180"/>
      </w:pPr>
    </w:lvl>
  </w:abstractNum>
  <w:abstractNum w:abstractNumId="16" w15:restartNumberingAfterBreak="0">
    <w:nsid w:val="2FBD31C5"/>
    <w:multiLevelType w:val="hybridMultilevel"/>
    <w:tmpl w:val="03D44F72"/>
    <w:lvl w:ilvl="0" w:tplc="0405000B">
      <w:start w:val="1"/>
      <w:numFmt w:val="bullet"/>
      <w:lvlText w:val=""/>
      <w:lvlJc w:val="left"/>
      <w:pPr>
        <w:tabs>
          <w:tab w:val="num" w:pos="1266"/>
        </w:tabs>
        <w:ind w:left="1266" w:hanging="360"/>
      </w:pPr>
      <w:rPr>
        <w:rFonts w:ascii="Wingdings" w:hAnsi="Wingdings" w:hint="default"/>
      </w:rPr>
    </w:lvl>
    <w:lvl w:ilvl="1" w:tplc="04050003">
      <w:start w:val="1"/>
      <w:numFmt w:val="bullet"/>
      <w:lvlText w:val="o"/>
      <w:lvlJc w:val="left"/>
      <w:pPr>
        <w:tabs>
          <w:tab w:val="num" w:pos="1986"/>
        </w:tabs>
        <w:ind w:left="1986" w:hanging="360"/>
      </w:pPr>
      <w:rPr>
        <w:rFonts w:ascii="Courier New" w:hAnsi="Courier New" w:cs="Courier New" w:hint="default"/>
      </w:rPr>
    </w:lvl>
    <w:lvl w:ilvl="2" w:tplc="04050005" w:tentative="1">
      <w:start w:val="1"/>
      <w:numFmt w:val="bullet"/>
      <w:lvlText w:val=""/>
      <w:lvlJc w:val="left"/>
      <w:pPr>
        <w:tabs>
          <w:tab w:val="num" w:pos="2706"/>
        </w:tabs>
        <w:ind w:left="2706" w:hanging="360"/>
      </w:pPr>
      <w:rPr>
        <w:rFonts w:ascii="Wingdings" w:hAnsi="Wingdings" w:hint="default"/>
      </w:rPr>
    </w:lvl>
    <w:lvl w:ilvl="3" w:tplc="04050001" w:tentative="1">
      <w:start w:val="1"/>
      <w:numFmt w:val="bullet"/>
      <w:lvlText w:val=""/>
      <w:lvlJc w:val="left"/>
      <w:pPr>
        <w:tabs>
          <w:tab w:val="num" w:pos="3426"/>
        </w:tabs>
        <w:ind w:left="3426" w:hanging="360"/>
      </w:pPr>
      <w:rPr>
        <w:rFonts w:ascii="Symbol" w:hAnsi="Symbol" w:hint="default"/>
      </w:rPr>
    </w:lvl>
    <w:lvl w:ilvl="4" w:tplc="04050003" w:tentative="1">
      <w:start w:val="1"/>
      <w:numFmt w:val="bullet"/>
      <w:lvlText w:val="o"/>
      <w:lvlJc w:val="left"/>
      <w:pPr>
        <w:tabs>
          <w:tab w:val="num" w:pos="4146"/>
        </w:tabs>
        <w:ind w:left="4146" w:hanging="360"/>
      </w:pPr>
      <w:rPr>
        <w:rFonts w:ascii="Courier New" w:hAnsi="Courier New" w:cs="Courier New" w:hint="default"/>
      </w:rPr>
    </w:lvl>
    <w:lvl w:ilvl="5" w:tplc="04050005" w:tentative="1">
      <w:start w:val="1"/>
      <w:numFmt w:val="bullet"/>
      <w:lvlText w:val=""/>
      <w:lvlJc w:val="left"/>
      <w:pPr>
        <w:tabs>
          <w:tab w:val="num" w:pos="4866"/>
        </w:tabs>
        <w:ind w:left="4866" w:hanging="360"/>
      </w:pPr>
      <w:rPr>
        <w:rFonts w:ascii="Wingdings" w:hAnsi="Wingdings" w:hint="default"/>
      </w:rPr>
    </w:lvl>
    <w:lvl w:ilvl="6" w:tplc="04050001" w:tentative="1">
      <w:start w:val="1"/>
      <w:numFmt w:val="bullet"/>
      <w:lvlText w:val=""/>
      <w:lvlJc w:val="left"/>
      <w:pPr>
        <w:tabs>
          <w:tab w:val="num" w:pos="5586"/>
        </w:tabs>
        <w:ind w:left="5586" w:hanging="360"/>
      </w:pPr>
      <w:rPr>
        <w:rFonts w:ascii="Symbol" w:hAnsi="Symbol" w:hint="default"/>
      </w:rPr>
    </w:lvl>
    <w:lvl w:ilvl="7" w:tplc="04050003" w:tentative="1">
      <w:start w:val="1"/>
      <w:numFmt w:val="bullet"/>
      <w:lvlText w:val="o"/>
      <w:lvlJc w:val="left"/>
      <w:pPr>
        <w:tabs>
          <w:tab w:val="num" w:pos="6306"/>
        </w:tabs>
        <w:ind w:left="6306" w:hanging="360"/>
      </w:pPr>
      <w:rPr>
        <w:rFonts w:ascii="Courier New" w:hAnsi="Courier New" w:cs="Courier New" w:hint="default"/>
      </w:rPr>
    </w:lvl>
    <w:lvl w:ilvl="8" w:tplc="04050005" w:tentative="1">
      <w:start w:val="1"/>
      <w:numFmt w:val="bullet"/>
      <w:lvlText w:val=""/>
      <w:lvlJc w:val="left"/>
      <w:pPr>
        <w:tabs>
          <w:tab w:val="num" w:pos="7026"/>
        </w:tabs>
        <w:ind w:left="7026" w:hanging="360"/>
      </w:pPr>
      <w:rPr>
        <w:rFonts w:ascii="Wingdings" w:hAnsi="Wingdings" w:hint="default"/>
      </w:rPr>
    </w:lvl>
  </w:abstractNum>
  <w:abstractNum w:abstractNumId="17" w15:restartNumberingAfterBreak="0">
    <w:nsid w:val="345434FC"/>
    <w:multiLevelType w:val="multilevel"/>
    <w:tmpl w:val="C58C33DE"/>
    <w:lvl w:ilvl="0">
      <w:start w:val="2"/>
      <w:numFmt w:val="upperLetter"/>
      <w:lvlText w:val="%1."/>
      <w:legacy w:legacy="1" w:legacySpace="120" w:legacyIndent="170"/>
      <w:lvlJc w:val="left"/>
      <w:pPr>
        <w:ind w:left="170" w:hanging="170"/>
      </w:pPr>
    </w:lvl>
    <w:lvl w:ilvl="1">
      <w:start w:val="1"/>
      <w:numFmt w:val="lowerLetter"/>
      <w:lvlText w:val="%2."/>
      <w:legacy w:legacy="1" w:legacySpace="120" w:legacyIndent="360"/>
      <w:lvlJc w:val="left"/>
      <w:pPr>
        <w:ind w:left="530" w:hanging="360"/>
      </w:pPr>
    </w:lvl>
    <w:lvl w:ilvl="2">
      <w:start w:val="1"/>
      <w:numFmt w:val="lowerRoman"/>
      <w:lvlText w:val="%3."/>
      <w:legacy w:legacy="1" w:legacySpace="120" w:legacyIndent="180"/>
      <w:lvlJc w:val="left"/>
      <w:pPr>
        <w:ind w:left="710" w:hanging="180"/>
      </w:pPr>
    </w:lvl>
    <w:lvl w:ilvl="3">
      <w:start w:val="1"/>
      <w:numFmt w:val="decimal"/>
      <w:lvlText w:val="%4."/>
      <w:legacy w:legacy="1" w:legacySpace="120" w:legacyIndent="360"/>
      <w:lvlJc w:val="left"/>
      <w:pPr>
        <w:ind w:left="1070" w:hanging="360"/>
      </w:pPr>
    </w:lvl>
    <w:lvl w:ilvl="4">
      <w:start w:val="1"/>
      <w:numFmt w:val="lowerLetter"/>
      <w:lvlText w:val="%5."/>
      <w:legacy w:legacy="1" w:legacySpace="120" w:legacyIndent="360"/>
      <w:lvlJc w:val="left"/>
      <w:pPr>
        <w:ind w:left="1430" w:hanging="360"/>
      </w:pPr>
    </w:lvl>
    <w:lvl w:ilvl="5">
      <w:start w:val="1"/>
      <w:numFmt w:val="lowerRoman"/>
      <w:lvlText w:val="%6."/>
      <w:legacy w:legacy="1" w:legacySpace="120" w:legacyIndent="180"/>
      <w:lvlJc w:val="left"/>
      <w:pPr>
        <w:ind w:left="1610" w:hanging="180"/>
      </w:pPr>
    </w:lvl>
    <w:lvl w:ilvl="6">
      <w:start w:val="1"/>
      <w:numFmt w:val="decimal"/>
      <w:lvlText w:val="%7."/>
      <w:legacy w:legacy="1" w:legacySpace="120" w:legacyIndent="360"/>
      <w:lvlJc w:val="left"/>
      <w:pPr>
        <w:ind w:left="1970" w:hanging="360"/>
      </w:pPr>
    </w:lvl>
    <w:lvl w:ilvl="7">
      <w:start w:val="1"/>
      <w:numFmt w:val="lowerLetter"/>
      <w:lvlText w:val="%8."/>
      <w:legacy w:legacy="1" w:legacySpace="120" w:legacyIndent="360"/>
      <w:lvlJc w:val="left"/>
      <w:pPr>
        <w:ind w:left="2330" w:hanging="360"/>
      </w:pPr>
    </w:lvl>
    <w:lvl w:ilvl="8">
      <w:start w:val="1"/>
      <w:numFmt w:val="lowerRoman"/>
      <w:lvlText w:val="%9."/>
      <w:legacy w:legacy="1" w:legacySpace="120" w:legacyIndent="180"/>
      <w:lvlJc w:val="left"/>
      <w:pPr>
        <w:ind w:left="2510" w:hanging="180"/>
      </w:pPr>
    </w:lvl>
  </w:abstractNum>
  <w:abstractNum w:abstractNumId="18" w15:restartNumberingAfterBreak="0">
    <w:nsid w:val="3C182CE1"/>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41EE1798"/>
    <w:multiLevelType w:val="hybridMultilevel"/>
    <w:tmpl w:val="05F29724"/>
    <w:lvl w:ilvl="0" w:tplc="D5C45EF6">
      <w:start w:val="1"/>
      <w:numFmt w:val="bullet"/>
      <w:pStyle w:val="odrka2"/>
      <w:lvlText w:val=""/>
      <w:lvlJc w:val="left"/>
      <w:pPr>
        <w:tabs>
          <w:tab w:val="num" w:pos="1418"/>
        </w:tabs>
        <w:ind w:left="1425" w:hanging="8"/>
      </w:pPr>
      <w:rPr>
        <w:rFonts w:ascii="Wingdings" w:hAnsi="Wingdings"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7B37001"/>
    <w:multiLevelType w:val="singleLevel"/>
    <w:tmpl w:val="46605F74"/>
    <w:lvl w:ilvl="0">
      <w:start w:val="2"/>
      <w:numFmt w:val="bullet"/>
      <w:lvlText w:val="-"/>
      <w:lvlJc w:val="left"/>
      <w:pPr>
        <w:tabs>
          <w:tab w:val="num" w:pos="3195"/>
        </w:tabs>
        <w:ind w:left="3195" w:hanging="360"/>
      </w:pPr>
      <w:rPr>
        <w:rFonts w:hint="default"/>
      </w:rPr>
    </w:lvl>
  </w:abstractNum>
  <w:abstractNum w:abstractNumId="21" w15:restartNumberingAfterBreak="0">
    <w:nsid w:val="4CA63369"/>
    <w:multiLevelType w:val="singleLevel"/>
    <w:tmpl w:val="FB4E7358"/>
    <w:lvl w:ilvl="0">
      <w:start w:val="12"/>
      <w:numFmt w:val="bullet"/>
      <w:lvlText w:val="-"/>
      <w:lvlJc w:val="left"/>
      <w:pPr>
        <w:tabs>
          <w:tab w:val="num" w:pos="360"/>
        </w:tabs>
        <w:ind w:left="360" w:hanging="360"/>
      </w:pPr>
      <w:rPr>
        <w:rFonts w:hint="default"/>
      </w:rPr>
    </w:lvl>
  </w:abstractNum>
  <w:abstractNum w:abstractNumId="22" w15:restartNumberingAfterBreak="0">
    <w:nsid w:val="523C02D7"/>
    <w:multiLevelType w:val="singleLevel"/>
    <w:tmpl w:val="AB7E6D2C"/>
    <w:lvl w:ilvl="0">
      <w:start w:val="1"/>
      <w:numFmt w:val="decimal"/>
      <w:pStyle w:val="literaturatext"/>
      <w:lvlText w:val="[%1]"/>
      <w:lvlJc w:val="left"/>
      <w:pPr>
        <w:tabs>
          <w:tab w:val="num" w:pos="720"/>
        </w:tabs>
        <w:ind w:left="357" w:hanging="357"/>
      </w:pPr>
      <w:rPr>
        <w:rFonts w:ascii="Times New Roman" w:hAnsi="Times New Roman" w:cs="Times New Roman"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BA1059F"/>
    <w:multiLevelType w:val="singleLevel"/>
    <w:tmpl w:val="848C5A80"/>
    <w:lvl w:ilvl="0">
      <w:start w:val="1"/>
      <w:numFmt w:val="decimal"/>
      <w:lvlText w:val="%1)"/>
      <w:lvlJc w:val="left"/>
      <w:pPr>
        <w:tabs>
          <w:tab w:val="num" w:pos="360"/>
        </w:tabs>
        <w:ind w:left="360" w:hanging="360"/>
      </w:pPr>
      <w:rPr>
        <w:b w:val="0"/>
        <w:i w:val="0"/>
        <w:sz w:val="24"/>
      </w:rPr>
    </w:lvl>
  </w:abstractNum>
  <w:abstractNum w:abstractNumId="24" w15:restartNumberingAfterBreak="0">
    <w:nsid w:val="5ED84924"/>
    <w:multiLevelType w:val="hybridMultilevel"/>
    <w:tmpl w:val="59F81BF6"/>
    <w:lvl w:ilvl="0" w:tplc="0405000B">
      <w:start w:val="1"/>
      <w:numFmt w:val="bullet"/>
      <w:lvlText w:val=""/>
      <w:lvlJc w:val="left"/>
      <w:pPr>
        <w:tabs>
          <w:tab w:val="num" w:pos="1429"/>
        </w:tabs>
        <w:ind w:left="1429" w:hanging="360"/>
      </w:pPr>
      <w:rPr>
        <w:rFonts w:ascii="Wingdings" w:hAnsi="Wingdings" w:hint="default"/>
      </w:rPr>
    </w:lvl>
    <w:lvl w:ilvl="1" w:tplc="04050019" w:tentative="1">
      <w:start w:val="1"/>
      <w:numFmt w:val="lowerLetter"/>
      <w:lvlText w:val="%2."/>
      <w:lvlJc w:val="left"/>
      <w:pPr>
        <w:tabs>
          <w:tab w:val="num" w:pos="2149"/>
        </w:tabs>
        <w:ind w:left="2149" w:hanging="360"/>
      </w:pPr>
    </w:lvl>
    <w:lvl w:ilvl="2" w:tplc="0405001B" w:tentative="1">
      <w:start w:val="1"/>
      <w:numFmt w:val="lowerRoman"/>
      <w:lvlText w:val="%3."/>
      <w:lvlJc w:val="right"/>
      <w:pPr>
        <w:tabs>
          <w:tab w:val="num" w:pos="2869"/>
        </w:tabs>
        <w:ind w:left="2869" w:hanging="180"/>
      </w:pPr>
    </w:lvl>
    <w:lvl w:ilvl="3" w:tplc="0405000F" w:tentative="1">
      <w:start w:val="1"/>
      <w:numFmt w:val="decimal"/>
      <w:lvlText w:val="%4."/>
      <w:lvlJc w:val="left"/>
      <w:pPr>
        <w:tabs>
          <w:tab w:val="num" w:pos="3589"/>
        </w:tabs>
        <w:ind w:left="3589" w:hanging="360"/>
      </w:pPr>
    </w:lvl>
    <w:lvl w:ilvl="4" w:tplc="04050019" w:tentative="1">
      <w:start w:val="1"/>
      <w:numFmt w:val="lowerLetter"/>
      <w:lvlText w:val="%5."/>
      <w:lvlJc w:val="left"/>
      <w:pPr>
        <w:tabs>
          <w:tab w:val="num" w:pos="4309"/>
        </w:tabs>
        <w:ind w:left="4309" w:hanging="360"/>
      </w:pPr>
    </w:lvl>
    <w:lvl w:ilvl="5" w:tplc="0405001B" w:tentative="1">
      <w:start w:val="1"/>
      <w:numFmt w:val="lowerRoman"/>
      <w:lvlText w:val="%6."/>
      <w:lvlJc w:val="right"/>
      <w:pPr>
        <w:tabs>
          <w:tab w:val="num" w:pos="5029"/>
        </w:tabs>
        <w:ind w:left="5029" w:hanging="180"/>
      </w:pPr>
    </w:lvl>
    <w:lvl w:ilvl="6" w:tplc="0405000F" w:tentative="1">
      <w:start w:val="1"/>
      <w:numFmt w:val="decimal"/>
      <w:lvlText w:val="%7."/>
      <w:lvlJc w:val="left"/>
      <w:pPr>
        <w:tabs>
          <w:tab w:val="num" w:pos="5749"/>
        </w:tabs>
        <w:ind w:left="5749" w:hanging="360"/>
      </w:pPr>
    </w:lvl>
    <w:lvl w:ilvl="7" w:tplc="04050019" w:tentative="1">
      <w:start w:val="1"/>
      <w:numFmt w:val="lowerLetter"/>
      <w:lvlText w:val="%8."/>
      <w:lvlJc w:val="left"/>
      <w:pPr>
        <w:tabs>
          <w:tab w:val="num" w:pos="6469"/>
        </w:tabs>
        <w:ind w:left="6469" w:hanging="360"/>
      </w:pPr>
    </w:lvl>
    <w:lvl w:ilvl="8" w:tplc="0405001B" w:tentative="1">
      <w:start w:val="1"/>
      <w:numFmt w:val="lowerRoman"/>
      <w:lvlText w:val="%9."/>
      <w:lvlJc w:val="right"/>
      <w:pPr>
        <w:tabs>
          <w:tab w:val="num" w:pos="7189"/>
        </w:tabs>
        <w:ind w:left="7189" w:hanging="180"/>
      </w:pPr>
    </w:lvl>
  </w:abstractNum>
  <w:abstractNum w:abstractNumId="25" w15:restartNumberingAfterBreak="0">
    <w:nsid w:val="5FBF630B"/>
    <w:multiLevelType w:val="hybridMultilevel"/>
    <w:tmpl w:val="DE6A42E0"/>
    <w:lvl w:ilvl="0" w:tplc="40765302">
      <w:numFmt w:val="bullet"/>
      <w:lvlText w:val=""/>
      <w:lvlJc w:val="left"/>
      <w:pPr>
        <w:tabs>
          <w:tab w:val="num" w:pos="2031"/>
        </w:tabs>
        <w:ind w:left="2031" w:hanging="360"/>
      </w:pPr>
      <w:rPr>
        <w:rFonts w:ascii="Symbol" w:eastAsia="Times New Roman" w:hAnsi="Symbol" w:cs="Times New Roman" w:hint="default"/>
        <w:color w:val="auto"/>
      </w:rPr>
    </w:lvl>
    <w:lvl w:ilvl="1" w:tplc="04050003" w:tentative="1">
      <w:start w:val="1"/>
      <w:numFmt w:val="bullet"/>
      <w:lvlText w:val="o"/>
      <w:lvlJc w:val="left"/>
      <w:pPr>
        <w:tabs>
          <w:tab w:val="num" w:pos="9"/>
        </w:tabs>
        <w:ind w:left="9" w:hanging="360"/>
      </w:pPr>
      <w:rPr>
        <w:rFonts w:ascii="Courier New" w:hAnsi="Courier New" w:hint="default"/>
      </w:rPr>
    </w:lvl>
    <w:lvl w:ilvl="2" w:tplc="04050005" w:tentative="1">
      <w:start w:val="1"/>
      <w:numFmt w:val="bullet"/>
      <w:lvlText w:val=""/>
      <w:lvlJc w:val="left"/>
      <w:pPr>
        <w:tabs>
          <w:tab w:val="num" w:pos="729"/>
        </w:tabs>
        <w:ind w:left="729" w:hanging="360"/>
      </w:pPr>
      <w:rPr>
        <w:rFonts w:ascii="Wingdings" w:hAnsi="Wingdings" w:hint="default"/>
      </w:rPr>
    </w:lvl>
    <w:lvl w:ilvl="3" w:tplc="04050001" w:tentative="1">
      <w:start w:val="1"/>
      <w:numFmt w:val="bullet"/>
      <w:lvlText w:val=""/>
      <w:lvlJc w:val="left"/>
      <w:pPr>
        <w:tabs>
          <w:tab w:val="num" w:pos="1449"/>
        </w:tabs>
        <w:ind w:left="1449" w:hanging="360"/>
      </w:pPr>
      <w:rPr>
        <w:rFonts w:ascii="Symbol" w:hAnsi="Symbol" w:hint="default"/>
      </w:rPr>
    </w:lvl>
    <w:lvl w:ilvl="4" w:tplc="04050003" w:tentative="1">
      <w:start w:val="1"/>
      <w:numFmt w:val="bullet"/>
      <w:lvlText w:val="o"/>
      <w:lvlJc w:val="left"/>
      <w:pPr>
        <w:tabs>
          <w:tab w:val="num" w:pos="2169"/>
        </w:tabs>
        <w:ind w:left="2169" w:hanging="360"/>
      </w:pPr>
      <w:rPr>
        <w:rFonts w:ascii="Courier New" w:hAnsi="Courier New" w:hint="default"/>
      </w:rPr>
    </w:lvl>
    <w:lvl w:ilvl="5" w:tplc="04050005" w:tentative="1">
      <w:start w:val="1"/>
      <w:numFmt w:val="bullet"/>
      <w:lvlText w:val=""/>
      <w:lvlJc w:val="left"/>
      <w:pPr>
        <w:tabs>
          <w:tab w:val="num" w:pos="2889"/>
        </w:tabs>
        <w:ind w:left="2889" w:hanging="360"/>
      </w:pPr>
      <w:rPr>
        <w:rFonts w:ascii="Wingdings" w:hAnsi="Wingdings" w:hint="default"/>
      </w:rPr>
    </w:lvl>
    <w:lvl w:ilvl="6" w:tplc="04050001" w:tentative="1">
      <w:start w:val="1"/>
      <w:numFmt w:val="bullet"/>
      <w:lvlText w:val=""/>
      <w:lvlJc w:val="left"/>
      <w:pPr>
        <w:tabs>
          <w:tab w:val="num" w:pos="3609"/>
        </w:tabs>
        <w:ind w:left="3609" w:hanging="360"/>
      </w:pPr>
      <w:rPr>
        <w:rFonts w:ascii="Symbol" w:hAnsi="Symbol" w:hint="default"/>
      </w:rPr>
    </w:lvl>
    <w:lvl w:ilvl="7" w:tplc="04050003" w:tentative="1">
      <w:start w:val="1"/>
      <w:numFmt w:val="bullet"/>
      <w:lvlText w:val="o"/>
      <w:lvlJc w:val="left"/>
      <w:pPr>
        <w:tabs>
          <w:tab w:val="num" w:pos="4329"/>
        </w:tabs>
        <w:ind w:left="4329" w:hanging="360"/>
      </w:pPr>
      <w:rPr>
        <w:rFonts w:ascii="Courier New" w:hAnsi="Courier New" w:hint="default"/>
      </w:rPr>
    </w:lvl>
    <w:lvl w:ilvl="8" w:tplc="04050005" w:tentative="1">
      <w:start w:val="1"/>
      <w:numFmt w:val="bullet"/>
      <w:lvlText w:val=""/>
      <w:lvlJc w:val="left"/>
      <w:pPr>
        <w:tabs>
          <w:tab w:val="num" w:pos="5049"/>
        </w:tabs>
        <w:ind w:left="5049" w:hanging="360"/>
      </w:pPr>
      <w:rPr>
        <w:rFonts w:ascii="Wingdings" w:hAnsi="Wingdings" w:hint="default"/>
      </w:rPr>
    </w:lvl>
  </w:abstractNum>
  <w:abstractNum w:abstractNumId="26" w15:restartNumberingAfterBreak="0">
    <w:nsid w:val="63CF4C99"/>
    <w:multiLevelType w:val="multilevel"/>
    <w:tmpl w:val="04050025"/>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8136"/>
        </w:tabs>
        <w:ind w:left="813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7" w15:restartNumberingAfterBreak="0">
    <w:nsid w:val="69E83E06"/>
    <w:multiLevelType w:val="hybridMultilevel"/>
    <w:tmpl w:val="697ADA5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676AFE"/>
    <w:multiLevelType w:val="hybridMultilevel"/>
    <w:tmpl w:val="B35ECA6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7D4A634A"/>
    <w:multiLevelType w:val="hybridMultilevel"/>
    <w:tmpl w:val="918A00E8"/>
    <w:lvl w:ilvl="0" w:tplc="ABF66600">
      <w:start w:val="1"/>
      <w:numFmt w:val="bullet"/>
      <w:pStyle w:val="Odrky"/>
      <w:lvlText w:val=""/>
      <w:lvlJc w:val="left"/>
      <w:pPr>
        <w:tabs>
          <w:tab w:val="num" w:pos="1191"/>
        </w:tabs>
        <w:ind w:left="1077" w:hanging="369"/>
      </w:pPr>
      <w:rPr>
        <w:rFonts w:ascii="Symbol" w:hAnsi="Symbol"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7FB87B7F"/>
    <w:multiLevelType w:val="multilevel"/>
    <w:tmpl w:val="C802ACD2"/>
    <w:lvl w:ilvl="0">
      <w:start w:val="1"/>
      <w:numFmt w:val="decimal"/>
      <w:lvlText w:val="%1"/>
      <w:lvlJc w:val="left"/>
      <w:pPr>
        <w:tabs>
          <w:tab w:val="num" w:pos="360"/>
        </w:tabs>
        <w:ind w:left="360" w:hanging="360"/>
      </w:pPr>
      <w:rPr>
        <w:rFonts w:hint="default"/>
        <w:b/>
        <w:i w:val="0"/>
        <w:sz w:val="28"/>
      </w:rPr>
    </w:lvl>
    <w:lvl w:ilvl="1">
      <w:start w:val="1"/>
      <w:numFmt w:val="decimal"/>
      <w:pStyle w:val="Nadpis20"/>
      <w:lvlText w:val="%1.%2"/>
      <w:lvlJc w:val="left"/>
      <w:pPr>
        <w:tabs>
          <w:tab w:val="num" w:pos="860"/>
        </w:tabs>
        <w:ind w:left="690" w:hanging="510"/>
      </w:pPr>
      <w:rPr>
        <w:rFonts w:ascii="Arial" w:hAnsi="Arial" w:hint="default"/>
        <w:b/>
        <w:i w:val="0"/>
        <w:sz w:val="28"/>
      </w:rPr>
    </w:lvl>
    <w:lvl w:ilvl="2">
      <w:start w:val="1"/>
      <w:numFmt w:val="decimal"/>
      <w:pStyle w:val="nadpis30"/>
      <w:lvlText w:val="%1.%2.%3"/>
      <w:lvlJc w:val="left"/>
      <w:pPr>
        <w:tabs>
          <w:tab w:val="num" w:pos="680"/>
        </w:tabs>
        <w:ind w:left="964" w:hanging="964"/>
      </w:pPr>
      <w:rPr>
        <w:rFonts w:ascii="Arial" w:hAnsi="Arial"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8"/>
  </w:num>
  <w:num w:numId="2">
    <w:abstractNumId w:val="4"/>
  </w:num>
  <w:num w:numId="3">
    <w:abstractNumId w:val="22"/>
  </w:num>
  <w:num w:numId="4">
    <w:abstractNumId w:val="12"/>
  </w:num>
  <w:num w:numId="5">
    <w:abstractNumId w:val="27"/>
  </w:num>
  <w:num w:numId="6">
    <w:abstractNumId w:val="26"/>
  </w:num>
  <w:num w:numId="7">
    <w:abstractNumId w:val="9"/>
  </w:num>
  <w:num w:numId="8">
    <w:abstractNumId w:val="13"/>
  </w:num>
  <w:num w:numId="9">
    <w:abstractNumId w:val="1"/>
  </w:num>
  <w:num w:numId="10">
    <w:abstractNumId w:val="5"/>
  </w:num>
  <w:num w:numId="11">
    <w:abstractNumId w:val="2"/>
  </w:num>
  <w:num w:numId="12">
    <w:abstractNumId w:val="25"/>
  </w:num>
  <w:num w:numId="13">
    <w:abstractNumId w:val="10"/>
  </w:num>
  <w:num w:numId="14">
    <w:abstractNumId w:val="24"/>
  </w:num>
  <w:num w:numId="15">
    <w:abstractNumId w:val="14"/>
  </w:num>
  <w:num w:numId="16">
    <w:abstractNumId w:val="16"/>
  </w:num>
  <w:num w:numId="17">
    <w:abstractNumId w:val="7"/>
  </w:num>
  <w:num w:numId="18">
    <w:abstractNumId w:val="17"/>
  </w:num>
  <w:num w:numId="19">
    <w:abstractNumId w:val="15"/>
  </w:num>
  <w:num w:numId="20">
    <w:abstractNumId w:val="23"/>
  </w:num>
  <w:num w:numId="21">
    <w:abstractNumId w:val="3"/>
  </w:num>
  <w:num w:numId="22">
    <w:abstractNumId w:val="20"/>
  </w:num>
  <w:num w:numId="23">
    <w:abstractNumId w:val="21"/>
  </w:num>
  <w:num w:numId="24">
    <w:abstractNumId w:val="6"/>
  </w:num>
  <w:num w:numId="25">
    <w:abstractNumId w:val="11"/>
  </w:num>
  <w:num w:numId="26">
    <w:abstractNumId w:val="18"/>
  </w:num>
  <w:num w:numId="27">
    <w:abstractNumId w:val="30"/>
  </w:num>
  <w:num w:numId="28">
    <w:abstractNumId w:val="29"/>
  </w:num>
  <w:num w:numId="29">
    <w:abstractNumId w:val="19"/>
  </w:num>
  <w:num w:numId="30">
    <w:abstractNumId w:val="0"/>
  </w:num>
  <w:num w:numId="3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93B"/>
    <w:rsid w:val="00007A8D"/>
    <w:rsid w:val="000179A6"/>
    <w:rsid w:val="00043179"/>
    <w:rsid w:val="0004344F"/>
    <w:rsid w:val="00046063"/>
    <w:rsid w:val="00054860"/>
    <w:rsid w:val="00054C39"/>
    <w:rsid w:val="00062FF0"/>
    <w:rsid w:val="00070F1E"/>
    <w:rsid w:val="000812F4"/>
    <w:rsid w:val="00084052"/>
    <w:rsid w:val="000859A2"/>
    <w:rsid w:val="00091350"/>
    <w:rsid w:val="00094F49"/>
    <w:rsid w:val="00095BD1"/>
    <w:rsid w:val="000A18A8"/>
    <w:rsid w:val="000A3A3C"/>
    <w:rsid w:val="000B13BD"/>
    <w:rsid w:val="000B4D2D"/>
    <w:rsid w:val="000C089F"/>
    <w:rsid w:val="000F4AD5"/>
    <w:rsid w:val="000F5750"/>
    <w:rsid w:val="001004D9"/>
    <w:rsid w:val="00100D38"/>
    <w:rsid w:val="001057A7"/>
    <w:rsid w:val="0011229B"/>
    <w:rsid w:val="0011437B"/>
    <w:rsid w:val="00123EE8"/>
    <w:rsid w:val="00126EE9"/>
    <w:rsid w:val="00127FEB"/>
    <w:rsid w:val="0014093B"/>
    <w:rsid w:val="0014108F"/>
    <w:rsid w:val="001412D0"/>
    <w:rsid w:val="00161034"/>
    <w:rsid w:val="0016582D"/>
    <w:rsid w:val="00174338"/>
    <w:rsid w:val="001809BD"/>
    <w:rsid w:val="00187840"/>
    <w:rsid w:val="00187C9E"/>
    <w:rsid w:val="00194388"/>
    <w:rsid w:val="001A3E4E"/>
    <w:rsid w:val="001A4954"/>
    <w:rsid w:val="001A4F1B"/>
    <w:rsid w:val="001A5101"/>
    <w:rsid w:val="001A6E59"/>
    <w:rsid w:val="001C0EC8"/>
    <w:rsid w:val="001C2A6E"/>
    <w:rsid w:val="001C479D"/>
    <w:rsid w:val="001C768A"/>
    <w:rsid w:val="001D28DB"/>
    <w:rsid w:val="001D6B93"/>
    <w:rsid w:val="001E059F"/>
    <w:rsid w:val="001E0AE4"/>
    <w:rsid w:val="001E5D3B"/>
    <w:rsid w:val="001F22CA"/>
    <w:rsid w:val="0020250C"/>
    <w:rsid w:val="00207347"/>
    <w:rsid w:val="002124F7"/>
    <w:rsid w:val="00217FD0"/>
    <w:rsid w:val="00230BF0"/>
    <w:rsid w:val="00250DDD"/>
    <w:rsid w:val="002521A1"/>
    <w:rsid w:val="002616E9"/>
    <w:rsid w:val="00261927"/>
    <w:rsid w:val="00262267"/>
    <w:rsid w:val="0026277E"/>
    <w:rsid w:val="00263938"/>
    <w:rsid w:val="0027564A"/>
    <w:rsid w:val="00296001"/>
    <w:rsid w:val="00296EA9"/>
    <w:rsid w:val="002C562D"/>
    <w:rsid w:val="002C598F"/>
    <w:rsid w:val="002D12FF"/>
    <w:rsid w:val="002E307E"/>
    <w:rsid w:val="002E5A34"/>
    <w:rsid w:val="00303339"/>
    <w:rsid w:val="00303FC8"/>
    <w:rsid w:val="00306F68"/>
    <w:rsid w:val="00311743"/>
    <w:rsid w:val="003532C7"/>
    <w:rsid w:val="0036402A"/>
    <w:rsid w:val="00366D53"/>
    <w:rsid w:val="00371DFD"/>
    <w:rsid w:val="003771D5"/>
    <w:rsid w:val="00383BB9"/>
    <w:rsid w:val="0039076E"/>
    <w:rsid w:val="003A1699"/>
    <w:rsid w:val="003C1E30"/>
    <w:rsid w:val="003C5C06"/>
    <w:rsid w:val="003E0F75"/>
    <w:rsid w:val="003E282E"/>
    <w:rsid w:val="003E702F"/>
    <w:rsid w:val="003F0A65"/>
    <w:rsid w:val="003F6109"/>
    <w:rsid w:val="00410BED"/>
    <w:rsid w:val="00427FEE"/>
    <w:rsid w:val="00437722"/>
    <w:rsid w:val="00447DFE"/>
    <w:rsid w:val="00450F51"/>
    <w:rsid w:val="004546BE"/>
    <w:rsid w:val="00460CAA"/>
    <w:rsid w:val="00463285"/>
    <w:rsid w:val="004634A0"/>
    <w:rsid w:val="00466D01"/>
    <w:rsid w:val="00476F44"/>
    <w:rsid w:val="00485514"/>
    <w:rsid w:val="004864F0"/>
    <w:rsid w:val="00496E62"/>
    <w:rsid w:val="004A1BDF"/>
    <w:rsid w:val="004A4BEA"/>
    <w:rsid w:val="004B52A4"/>
    <w:rsid w:val="004C3EA9"/>
    <w:rsid w:val="004C4F5D"/>
    <w:rsid w:val="004C594C"/>
    <w:rsid w:val="004C6AFA"/>
    <w:rsid w:val="004D09CA"/>
    <w:rsid w:val="004D2442"/>
    <w:rsid w:val="004D612E"/>
    <w:rsid w:val="00500051"/>
    <w:rsid w:val="00501D89"/>
    <w:rsid w:val="0050278D"/>
    <w:rsid w:val="00511B61"/>
    <w:rsid w:val="00514DC7"/>
    <w:rsid w:val="0051743C"/>
    <w:rsid w:val="00517B54"/>
    <w:rsid w:val="00530C90"/>
    <w:rsid w:val="00536484"/>
    <w:rsid w:val="005409A9"/>
    <w:rsid w:val="00544403"/>
    <w:rsid w:val="0054719F"/>
    <w:rsid w:val="00547447"/>
    <w:rsid w:val="00553F3D"/>
    <w:rsid w:val="00571D2C"/>
    <w:rsid w:val="00580EBE"/>
    <w:rsid w:val="00581BAF"/>
    <w:rsid w:val="005867B2"/>
    <w:rsid w:val="005B02D4"/>
    <w:rsid w:val="005B45CA"/>
    <w:rsid w:val="005D5976"/>
    <w:rsid w:val="005D7224"/>
    <w:rsid w:val="005E0B8F"/>
    <w:rsid w:val="005F0AAE"/>
    <w:rsid w:val="0060411B"/>
    <w:rsid w:val="006071BD"/>
    <w:rsid w:val="00613AE8"/>
    <w:rsid w:val="00640D22"/>
    <w:rsid w:val="0065055F"/>
    <w:rsid w:val="00656180"/>
    <w:rsid w:val="00666545"/>
    <w:rsid w:val="006803E3"/>
    <w:rsid w:val="00685B3F"/>
    <w:rsid w:val="00685C9D"/>
    <w:rsid w:val="006A11FA"/>
    <w:rsid w:val="006A1765"/>
    <w:rsid w:val="006A33D1"/>
    <w:rsid w:val="006A6F56"/>
    <w:rsid w:val="006C7CB3"/>
    <w:rsid w:val="006D295F"/>
    <w:rsid w:val="006E354A"/>
    <w:rsid w:val="006E6449"/>
    <w:rsid w:val="006F1312"/>
    <w:rsid w:val="00700920"/>
    <w:rsid w:val="00702314"/>
    <w:rsid w:val="007052DA"/>
    <w:rsid w:val="00715D3F"/>
    <w:rsid w:val="00720AB4"/>
    <w:rsid w:val="00725819"/>
    <w:rsid w:val="00730CE0"/>
    <w:rsid w:val="00732D88"/>
    <w:rsid w:val="0073534D"/>
    <w:rsid w:val="00744B1A"/>
    <w:rsid w:val="00744EB5"/>
    <w:rsid w:val="007516A1"/>
    <w:rsid w:val="00764F9E"/>
    <w:rsid w:val="00767E1F"/>
    <w:rsid w:val="007715B8"/>
    <w:rsid w:val="00774601"/>
    <w:rsid w:val="0077460F"/>
    <w:rsid w:val="0078744D"/>
    <w:rsid w:val="00787F7B"/>
    <w:rsid w:val="00795E6F"/>
    <w:rsid w:val="007C13C8"/>
    <w:rsid w:val="007D393B"/>
    <w:rsid w:val="007D3B9E"/>
    <w:rsid w:val="007E1F76"/>
    <w:rsid w:val="007E4DA0"/>
    <w:rsid w:val="007F32A7"/>
    <w:rsid w:val="00806A00"/>
    <w:rsid w:val="00813C81"/>
    <w:rsid w:val="00824A89"/>
    <w:rsid w:val="0082763B"/>
    <w:rsid w:val="0083096D"/>
    <w:rsid w:val="00843DFA"/>
    <w:rsid w:val="00854CF9"/>
    <w:rsid w:val="00864B3D"/>
    <w:rsid w:val="00867CC6"/>
    <w:rsid w:val="0087066E"/>
    <w:rsid w:val="0087257A"/>
    <w:rsid w:val="0088577A"/>
    <w:rsid w:val="00891862"/>
    <w:rsid w:val="00895330"/>
    <w:rsid w:val="008A1FFC"/>
    <w:rsid w:val="008B00A3"/>
    <w:rsid w:val="008B6AC8"/>
    <w:rsid w:val="008C39B7"/>
    <w:rsid w:val="008C7F18"/>
    <w:rsid w:val="008D7C5E"/>
    <w:rsid w:val="008E547D"/>
    <w:rsid w:val="008E7E32"/>
    <w:rsid w:val="008F393E"/>
    <w:rsid w:val="008F3F22"/>
    <w:rsid w:val="00903653"/>
    <w:rsid w:val="00906094"/>
    <w:rsid w:val="009166A9"/>
    <w:rsid w:val="00932DE6"/>
    <w:rsid w:val="00956ECC"/>
    <w:rsid w:val="00957F2C"/>
    <w:rsid w:val="0096626B"/>
    <w:rsid w:val="009727C0"/>
    <w:rsid w:val="0098003D"/>
    <w:rsid w:val="00982424"/>
    <w:rsid w:val="00985CB3"/>
    <w:rsid w:val="009959C9"/>
    <w:rsid w:val="009A0795"/>
    <w:rsid w:val="009A4855"/>
    <w:rsid w:val="009B0C81"/>
    <w:rsid w:val="009B4B0C"/>
    <w:rsid w:val="009C222A"/>
    <w:rsid w:val="009C4E73"/>
    <w:rsid w:val="009D7AFF"/>
    <w:rsid w:val="009E14CB"/>
    <w:rsid w:val="009E1D5E"/>
    <w:rsid w:val="009E3754"/>
    <w:rsid w:val="009F16CC"/>
    <w:rsid w:val="009F6B81"/>
    <w:rsid w:val="00A14B15"/>
    <w:rsid w:val="00A2171A"/>
    <w:rsid w:val="00A2385E"/>
    <w:rsid w:val="00A24B66"/>
    <w:rsid w:val="00A346D3"/>
    <w:rsid w:val="00A37982"/>
    <w:rsid w:val="00A5410B"/>
    <w:rsid w:val="00A631F6"/>
    <w:rsid w:val="00A97F22"/>
    <w:rsid w:val="00AA6040"/>
    <w:rsid w:val="00AB3EBF"/>
    <w:rsid w:val="00AC6293"/>
    <w:rsid w:val="00AD59D8"/>
    <w:rsid w:val="00AE0BBD"/>
    <w:rsid w:val="00AF59DE"/>
    <w:rsid w:val="00B02A9A"/>
    <w:rsid w:val="00B13C29"/>
    <w:rsid w:val="00B14772"/>
    <w:rsid w:val="00B2251A"/>
    <w:rsid w:val="00B22C59"/>
    <w:rsid w:val="00B27CDD"/>
    <w:rsid w:val="00B3127F"/>
    <w:rsid w:val="00B34DCC"/>
    <w:rsid w:val="00B40170"/>
    <w:rsid w:val="00B427B8"/>
    <w:rsid w:val="00B4291C"/>
    <w:rsid w:val="00B605CF"/>
    <w:rsid w:val="00B710CB"/>
    <w:rsid w:val="00B85158"/>
    <w:rsid w:val="00B87448"/>
    <w:rsid w:val="00B9243B"/>
    <w:rsid w:val="00BA012C"/>
    <w:rsid w:val="00BD05F0"/>
    <w:rsid w:val="00BD61E6"/>
    <w:rsid w:val="00BD70EC"/>
    <w:rsid w:val="00BF28F7"/>
    <w:rsid w:val="00BF2CE3"/>
    <w:rsid w:val="00C21231"/>
    <w:rsid w:val="00C23A72"/>
    <w:rsid w:val="00C26BF6"/>
    <w:rsid w:val="00C404E1"/>
    <w:rsid w:val="00C416C5"/>
    <w:rsid w:val="00C4300D"/>
    <w:rsid w:val="00C50DC4"/>
    <w:rsid w:val="00C721DD"/>
    <w:rsid w:val="00C76F00"/>
    <w:rsid w:val="00C772C5"/>
    <w:rsid w:val="00C77666"/>
    <w:rsid w:val="00C849A5"/>
    <w:rsid w:val="00C9623B"/>
    <w:rsid w:val="00CA47EA"/>
    <w:rsid w:val="00CA5FED"/>
    <w:rsid w:val="00CB2724"/>
    <w:rsid w:val="00CB2C3C"/>
    <w:rsid w:val="00CC7941"/>
    <w:rsid w:val="00CD3EAD"/>
    <w:rsid w:val="00CE50B3"/>
    <w:rsid w:val="00CE71F9"/>
    <w:rsid w:val="00D02189"/>
    <w:rsid w:val="00D212DF"/>
    <w:rsid w:val="00D26D20"/>
    <w:rsid w:val="00D33247"/>
    <w:rsid w:val="00D37AE7"/>
    <w:rsid w:val="00D46360"/>
    <w:rsid w:val="00D4644F"/>
    <w:rsid w:val="00D51A36"/>
    <w:rsid w:val="00D57D32"/>
    <w:rsid w:val="00D64FBC"/>
    <w:rsid w:val="00D73F41"/>
    <w:rsid w:val="00D95EF9"/>
    <w:rsid w:val="00DA207D"/>
    <w:rsid w:val="00DA759B"/>
    <w:rsid w:val="00DB3107"/>
    <w:rsid w:val="00DB7753"/>
    <w:rsid w:val="00DC5DB8"/>
    <w:rsid w:val="00DC69D6"/>
    <w:rsid w:val="00DD7EA0"/>
    <w:rsid w:val="00DE1F76"/>
    <w:rsid w:val="00DE577B"/>
    <w:rsid w:val="00DE72CD"/>
    <w:rsid w:val="00DF6B05"/>
    <w:rsid w:val="00E07432"/>
    <w:rsid w:val="00E21878"/>
    <w:rsid w:val="00E23D5D"/>
    <w:rsid w:val="00E2522D"/>
    <w:rsid w:val="00E50827"/>
    <w:rsid w:val="00E553FA"/>
    <w:rsid w:val="00E61614"/>
    <w:rsid w:val="00E70DE7"/>
    <w:rsid w:val="00E71E24"/>
    <w:rsid w:val="00E73D45"/>
    <w:rsid w:val="00E77C87"/>
    <w:rsid w:val="00E91F83"/>
    <w:rsid w:val="00E93C44"/>
    <w:rsid w:val="00EA3348"/>
    <w:rsid w:val="00EA76E7"/>
    <w:rsid w:val="00EB5F68"/>
    <w:rsid w:val="00ED07D6"/>
    <w:rsid w:val="00ED24CA"/>
    <w:rsid w:val="00ED659A"/>
    <w:rsid w:val="00EE1C84"/>
    <w:rsid w:val="00EE324A"/>
    <w:rsid w:val="00F01B70"/>
    <w:rsid w:val="00F10569"/>
    <w:rsid w:val="00F1106B"/>
    <w:rsid w:val="00F2537B"/>
    <w:rsid w:val="00F2706D"/>
    <w:rsid w:val="00F33B45"/>
    <w:rsid w:val="00F50AE2"/>
    <w:rsid w:val="00F56CCA"/>
    <w:rsid w:val="00F665BA"/>
    <w:rsid w:val="00F67054"/>
    <w:rsid w:val="00F72AF5"/>
    <w:rsid w:val="00F76A0F"/>
    <w:rsid w:val="00F76D0B"/>
    <w:rsid w:val="00F77E6E"/>
    <w:rsid w:val="00F830BC"/>
    <w:rsid w:val="00F9260F"/>
    <w:rsid w:val="00F95B90"/>
    <w:rsid w:val="00FB5D3C"/>
    <w:rsid w:val="00FB5E29"/>
    <w:rsid w:val="00FC100E"/>
    <w:rsid w:val="00FC6B68"/>
    <w:rsid w:val="00FD40B7"/>
    <w:rsid w:val="00FD62A8"/>
    <w:rsid w:val="00FE34A4"/>
    <w:rsid w:val="00FE5C22"/>
    <w:rsid w:val="00FE6274"/>
    <w:rsid w:val="00FF2BDE"/>
    <w:rsid w:val="00FF44AD"/>
    <w:rsid w:val="00FF74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C8057AC"/>
  <w15:chartTrackingRefBased/>
  <w15:docId w15:val="{54FCF07C-FDB9-4664-BDF4-20612FCD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10569"/>
    <w:rPr>
      <w:sz w:val="24"/>
      <w:szCs w:val="24"/>
    </w:rPr>
  </w:style>
  <w:style w:type="paragraph" w:styleId="Nadpis1">
    <w:name w:val="heading 1"/>
    <w:basedOn w:val="Normln"/>
    <w:next w:val="Normln"/>
    <w:qFormat/>
    <w:rsid w:val="005867B2"/>
    <w:pPr>
      <w:keepNext/>
      <w:numPr>
        <w:numId w:val="6"/>
      </w:numPr>
      <w:spacing w:before="480" w:after="60"/>
      <w:ind w:left="431" w:hanging="431"/>
      <w:outlineLvl w:val="0"/>
    </w:pPr>
    <w:rPr>
      <w:rFonts w:ascii="Arial" w:hAnsi="Arial" w:cs="Arial"/>
      <w:b/>
      <w:bCs/>
      <w:kern w:val="32"/>
      <w:sz w:val="32"/>
      <w:szCs w:val="32"/>
    </w:rPr>
  </w:style>
  <w:style w:type="paragraph" w:styleId="Nadpis2">
    <w:name w:val="heading 2"/>
    <w:basedOn w:val="Normln"/>
    <w:next w:val="Normln"/>
    <w:qFormat/>
    <w:rsid w:val="00B13C29"/>
    <w:pPr>
      <w:keepNext/>
      <w:numPr>
        <w:ilvl w:val="1"/>
        <w:numId w:val="6"/>
      </w:numPr>
      <w:tabs>
        <w:tab w:val="clear" w:pos="8136"/>
        <w:tab w:val="left" w:pos="567"/>
        <w:tab w:val="left" w:pos="765"/>
      </w:tabs>
      <w:spacing w:before="480" w:after="60"/>
      <w:ind w:left="578" w:hanging="578"/>
      <w:outlineLvl w:val="1"/>
    </w:pPr>
    <w:rPr>
      <w:rFonts w:ascii="Arial" w:hAnsi="Arial" w:cs="Arial"/>
      <w:b/>
      <w:bCs/>
      <w:iCs/>
      <w:sz w:val="28"/>
      <w:szCs w:val="28"/>
    </w:rPr>
  </w:style>
  <w:style w:type="paragraph" w:styleId="Nadpis3">
    <w:name w:val="heading 3"/>
    <w:basedOn w:val="Normln"/>
    <w:next w:val="Normln"/>
    <w:qFormat/>
    <w:rsid w:val="0060411B"/>
    <w:pPr>
      <w:keepNext/>
      <w:numPr>
        <w:ilvl w:val="2"/>
        <w:numId w:val="6"/>
      </w:numPr>
      <w:spacing w:before="240" w:after="60"/>
      <w:outlineLvl w:val="2"/>
    </w:pPr>
    <w:rPr>
      <w:rFonts w:ascii="Arial" w:hAnsi="Arial" w:cs="Arial"/>
      <w:b/>
      <w:bCs/>
      <w:sz w:val="26"/>
      <w:szCs w:val="26"/>
    </w:rPr>
  </w:style>
  <w:style w:type="paragraph" w:styleId="Nadpis4">
    <w:name w:val="heading 4"/>
    <w:basedOn w:val="Normln"/>
    <w:next w:val="Normln"/>
    <w:qFormat/>
    <w:rsid w:val="00EB5F68"/>
    <w:pPr>
      <w:keepNext/>
      <w:numPr>
        <w:ilvl w:val="3"/>
        <w:numId w:val="6"/>
      </w:numPr>
      <w:spacing w:before="240" w:after="60"/>
      <w:outlineLvl w:val="3"/>
    </w:pPr>
    <w:rPr>
      <w:b/>
      <w:bCs/>
      <w:szCs w:val="28"/>
    </w:rPr>
  </w:style>
  <w:style w:type="paragraph" w:styleId="Nadpis5">
    <w:name w:val="heading 5"/>
    <w:basedOn w:val="Normln"/>
    <w:next w:val="Normln"/>
    <w:qFormat/>
    <w:rsid w:val="00296001"/>
    <w:pPr>
      <w:numPr>
        <w:ilvl w:val="4"/>
        <w:numId w:val="6"/>
      </w:numPr>
      <w:spacing w:before="240" w:after="60"/>
      <w:outlineLvl w:val="4"/>
    </w:pPr>
    <w:rPr>
      <w:b/>
      <w:bCs/>
      <w:i/>
      <w:iCs/>
      <w:sz w:val="26"/>
      <w:szCs w:val="26"/>
    </w:rPr>
  </w:style>
  <w:style w:type="paragraph" w:styleId="Nadpis6">
    <w:name w:val="heading 6"/>
    <w:basedOn w:val="Normln"/>
    <w:next w:val="Normln"/>
    <w:qFormat/>
    <w:rsid w:val="00296001"/>
    <w:pPr>
      <w:numPr>
        <w:ilvl w:val="5"/>
        <w:numId w:val="6"/>
      </w:numPr>
      <w:spacing w:before="240" w:after="60"/>
      <w:outlineLvl w:val="5"/>
    </w:pPr>
    <w:rPr>
      <w:b/>
      <w:bCs/>
      <w:sz w:val="22"/>
      <w:szCs w:val="22"/>
    </w:rPr>
  </w:style>
  <w:style w:type="paragraph" w:styleId="Nadpis7">
    <w:name w:val="heading 7"/>
    <w:basedOn w:val="Normln"/>
    <w:next w:val="Normln"/>
    <w:qFormat/>
    <w:rsid w:val="00296001"/>
    <w:pPr>
      <w:numPr>
        <w:ilvl w:val="6"/>
        <w:numId w:val="6"/>
      </w:numPr>
      <w:spacing w:before="240" w:after="60"/>
      <w:outlineLvl w:val="6"/>
    </w:pPr>
  </w:style>
  <w:style w:type="paragraph" w:styleId="Nadpis8">
    <w:name w:val="heading 8"/>
    <w:basedOn w:val="Normln"/>
    <w:next w:val="Normln"/>
    <w:qFormat/>
    <w:rsid w:val="00296001"/>
    <w:pPr>
      <w:numPr>
        <w:ilvl w:val="7"/>
        <w:numId w:val="6"/>
      </w:numPr>
      <w:spacing w:before="240" w:after="60"/>
      <w:outlineLvl w:val="7"/>
    </w:pPr>
    <w:rPr>
      <w:i/>
      <w:iCs/>
    </w:rPr>
  </w:style>
  <w:style w:type="paragraph" w:styleId="Nadpis9">
    <w:name w:val="heading 9"/>
    <w:basedOn w:val="Normln"/>
    <w:next w:val="Normln"/>
    <w:qFormat/>
    <w:rsid w:val="00296001"/>
    <w:pPr>
      <w:numPr>
        <w:ilvl w:val="8"/>
        <w:numId w:val="6"/>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Tekst przypisu Znak,Tekst przypisu dolnego1 Znak,Tekst przypisu,Tekst przypisu dolnego11,Tekst przypisu Znak Znak1 Znak Znak,Tekst przypisu Znak Znak1 Znak"/>
    <w:basedOn w:val="Normln"/>
    <w:autoRedefine/>
    <w:semiHidden/>
    <w:rsid w:val="00383BB9"/>
    <w:pPr>
      <w:tabs>
        <w:tab w:val="left" w:pos="284"/>
      </w:tabs>
      <w:spacing w:before="120"/>
      <w:ind w:left="284" w:hanging="284"/>
      <w:jc w:val="both"/>
    </w:pPr>
    <w:rPr>
      <w:sz w:val="20"/>
      <w:szCs w:val="20"/>
    </w:rPr>
  </w:style>
  <w:style w:type="character" w:styleId="Znakapoznpodarou">
    <w:name w:val="footnote reference"/>
    <w:basedOn w:val="Standardnpsmoodstavce"/>
    <w:semiHidden/>
    <w:rsid w:val="007D393B"/>
    <w:rPr>
      <w:vertAlign w:val="superscript"/>
    </w:rPr>
  </w:style>
  <w:style w:type="paragraph" w:styleId="Normlnodsazen">
    <w:name w:val="Normal Indent"/>
    <w:basedOn w:val="Normln"/>
    <w:link w:val="NormlnodsazenChar"/>
    <w:rsid w:val="007D393B"/>
    <w:pPr>
      <w:spacing w:after="120" w:line="360" w:lineRule="auto"/>
      <w:ind w:left="708" w:firstLine="567"/>
      <w:jc w:val="both"/>
    </w:pPr>
  </w:style>
  <w:style w:type="paragraph" w:styleId="Zpat">
    <w:name w:val="footer"/>
    <w:basedOn w:val="Normln"/>
    <w:rsid w:val="007D393B"/>
    <w:pPr>
      <w:tabs>
        <w:tab w:val="center" w:pos="4536"/>
        <w:tab w:val="right" w:pos="9072"/>
      </w:tabs>
      <w:spacing w:after="120" w:line="360" w:lineRule="auto"/>
      <w:ind w:firstLine="567"/>
      <w:jc w:val="both"/>
    </w:pPr>
  </w:style>
  <w:style w:type="character" w:styleId="slostrnky">
    <w:name w:val="page number"/>
    <w:basedOn w:val="Standardnpsmoodstavce"/>
    <w:rsid w:val="007D393B"/>
  </w:style>
  <w:style w:type="paragraph" w:styleId="Nzev">
    <w:name w:val="Title"/>
    <w:basedOn w:val="Normln"/>
    <w:qFormat/>
    <w:rsid w:val="007D393B"/>
    <w:pPr>
      <w:widowControl w:val="0"/>
      <w:autoSpaceDE w:val="0"/>
      <w:autoSpaceDN w:val="0"/>
      <w:adjustRightInd w:val="0"/>
      <w:spacing w:line="360" w:lineRule="auto"/>
      <w:ind w:left="142"/>
      <w:jc w:val="center"/>
    </w:pPr>
    <w:rPr>
      <w:b/>
      <w:bCs/>
      <w:sz w:val="32"/>
      <w:szCs w:val="32"/>
      <w:u w:val="single"/>
    </w:rPr>
  </w:style>
  <w:style w:type="table" w:styleId="Mkatabulky">
    <w:name w:val="Table Grid"/>
    <w:basedOn w:val="Normlntabulka"/>
    <w:rsid w:val="007D3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Nadpis1TimesNewRoman12bTunDoleva">
    <w:name w:val="Styl Nadpis 1 + Times New Roman 12 b. Tučné Doleva"/>
    <w:basedOn w:val="Nadpis1"/>
    <w:rsid w:val="007D393B"/>
    <w:pPr>
      <w:tabs>
        <w:tab w:val="num" w:pos="709"/>
      </w:tabs>
      <w:spacing w:after="0"/>
      <w:ind w:left="709" w:hanging="709"/>
    </w:pPr>
    <w:rPr>
      <w:rFonts w:ascii="Times New Roman" w:hAnsi="Times New Roman" w:cs="Times New Roman"/>
      <w:kern w:val="0"/>
      <w:sz w:val="24"/>
      <w:szCs w:val="20"/>
    </w:rPr>
  </w:style>
  <w:style w:type="paragraph" w:customStyle="1" w:styleId="Obrzek">
    <w:name w:val="Obrázek"/>
    <w:basedOn w:val="Normln"/>
    <w:autoRedefine/>
    <w:rsid w:val="007D393B"/>
    <w:pPr>
      <w:numPr>
        <w:numId w:val="1"/>
      </w:numPr>
      <w:spacing w:before="240"/>
      <w:ind w:hanging="618"/>
      <w:jc w:val="center"/>
    </w:pPr>
  </w:style>
  <w:style w:type="paragraph" w:customStyle="1" w:styleId="Upozornn">
    <w:name w:val="Upozornění"/>
    <w:basedOn w:val="Normln"/>
    <w:rsid w:val="007D393B"/>
    <w:pPr>
      <w:numPr>
        <w:numId w:val="2"/>
      </w:numPr>
      <w:spacing w:before="120" w:line="360" w:lineRule="auto"/>
      <w:jc w:val="both"/>
    </w:pPr>
    <w:rPr>
      <w:rFonts w:ascii="Arial" w:eastAsia="Zurich Lt BT" w:hAnsi="Arial"/>
      <w:i/>
    </w:rPr>
  </w:style>
  <w:style w:type="paragraph" w:customStyle="1" w:styleId="Varovn">
    <w:name w:val="Varování"/>
    <w:basedOn w:val="Upozornn"/>
    <w:rsid w:val="007D393B"/>
    <w:pPr>
      <w:tabs>
        <w:tab w:val="left" w:pos="1191"/>
      </w:tabs>
    </w:pPr>
    <w:rPr>
      <w:rFonts w:ascii="Times New Roman" w:hAnsi="Times New Roman"/>
    </w:rPr>
  </w:style>
  <w:style w:type="paragraph" w:customStyle="1" w:styleId="literaturatext">
    <w:name w:val="literatura text"/>
    <w:autoRedefine/>
    <w:rsid w:val="00B85158"/>
    <w:pPr>
      <w:numPr>
        <w:numId w:val="3"/>
      </w:numPr>
      <w:snapToGrid w:val="0"/>
      <w:spacing w:before="120"/>
      <w:ind w:right="-43"/>
      <w:jc w:val="both"/>
    </w:pPr>
    <w:rPr>
      <w:sz w:val="24"/>
      <w:szCs w:val="24"/>
    </w:rPr>
  </w:style>
  <w:style w:type="paragraph" w:customStyle="1" w:styleId="StylStylStylNadpis2TunDolevaPed12b14b14b">
    <w:name w:val="Styl Styl Styl Nadpis 2 + Tučné Doleva Před:  12 b. + 14 b. + 14 b."/>
    <w:basedOn w:val="Normln"/>
    <w:link w:val="StylStylStylNadpis2TunDolevaPed12b14b14bCharChar"/>
    <w:autoRedefine/>
    <w:rsid w:val="007D393B"/>
    <w:pPr>
      <w:keepNext/>
      <w:ind w:left="349"/>
      <w:outlineLvl w:val="1"/>
    </w:pPr>
    <w:rPr>
      <w:b/>
      <w:bCs/>
      <w:caps/>
      <w:szCs w:val="20"/>
    </w:rPr>
  </w:style>
  <w:style w:type="character" w:customStyle="1" w:styleId="StylStylStylNadpis2TunDolevaPed12b14b14bCharChar">
    <w:name w:val="Styl Styl Styl Nadpis 2 + Tučné Doleva Před:  12 b. + 14 b. + 14 b. Char Char"/>
    <w:basedOn w:val="Standardnpsmoodstavce"/>
    <w:link w:val="StylStylStylNadpis2TunDolevaPed12b14b14b"/>
    <w:rsid w:val="007D393B"/>
    <w:rPr>
      <w:b/>
      <w:bCs/>
      <w:caps/>
      <w:sz w:val="24"/>
      <w:lang w:val="cs-CZ" w:eastAsia="cs-CZ" w:bidi="ar-SA"/>
    </w:rPr>
  </w:style>
  <w:style w:type="character" w:customStyle="1" w:styleId="NormlnodsazenChar">
    <w:name w:val="Normální odsazený Char"/>
    <w:basedOn w:val="Standardnpsmoodstavce"/>
    <w:link w:val="Normlnodsazen"/>
    <w:rsid w:val="007D393B"/>
    <w:rPr>
      <w:sz w:val="24"/>
      <w:szCs w:val="24"/>
      <w:lang w:val="cs-CZ" w:eastAsia="cs-CZ" w:bidi="ar-SA"/>
    </w:rPr>
  </w:style>
  <w:style w:type="paragraph" w:customStyle="1" w:styleId="StylStylStylStylNadpis2TunDolevaPed12b14b">
    <w:name w:val="Styl Styl Styl Styl Nadpis 2 + Tučné Doleva Před:  12 b. + 14 b. +..."/>
    <w:basedOn w:val="StylStylStylNadpis2TunDolevaPed12b14b14b"/>
    <w:rsid w:val="007D393B"/>
    <w:pPr>
      <w:ind w:left="0"/>
    </w:pPr>
  </w:style>
  <w:style w:type="paragraph" w:customStyle="1" w:styleId="StylZarovnatdoblokuPrvndek125cm">
    <w:name w:val="Styl Zarovnat do bloku První řádek:  125 cm"/>
    <w:basedOn w:val="Normln"/>
    <w:link w:val="StylZarovnatdoblokuPrvndek125cmChar"/>
    <w:rsid w:val="007D393B"/>
    <w:pPr>
      <w:ind w:firstLine="708"/>
      <w:jc w:val="both"/>
    </w:pPr>
    <w:rPr>
      <w:szCs w:val="20"/>
    </w:rPr>
  </w:style>
  <w:style w:type="character" w:customStyle="1" w:styleId="StylZarovnatdoblokuPrvndek125cmChar">
    <w:name w:val="Styl Zarovnat do bloku První řádek:  125 cm Char"/>
    <w:basedOn w:val="Standardnpsmoodstavce"/>
    <w:link w:val="StylZarovnatdoblokuPrvndek125cm"/>
    <w:rsid w:val="007D393B"/>
    <w:rPr>
      <w:sz w:val="24"/>
      <w:lang w:val="cs-CZ" w:eastAsia="cs-CZ" w:bidi="ar-SA"/>
    </w:rPr>
  </w:style>
  <w:style w:type="paragraph" w:customStyle="1" w:styleId="M-2">
    <w:name w:val="M-2"/>
    <w:basedOn w:val="Normln"/>
    <w:link w:val="M-2Char"/>
    <w:rsid w:val="0014093B"/>
    <w:pPr>
      <w:ind w:firstLine="709"/>
      <w:jc w:val="both"/>
    </w:pPr>
    <w:rPr>
      <w:rFonts w:ascii="Arial" w:hAnsi="Arial"/>
    </w:rPr>
  </w:style>
  <w:style w:type="character" w:customStyle="1" w:styleId="StylArial">
    <w:name w:val="Styl Arial"/>
    <w:basedOn w:val="Standardnpsmoodstavce"/>
    <w:rsid w:val="00FF44AD"/>
    <w:rPr>
      <w:rFonts w:ascii="Arial" w:hAnsi="Arial"/>
      <w:sz w:val="36"/>
    </w:rPr>
  </w:style>
  <w:style w:type="character" w:customStyle="1" w:styleId="M-2Char">
    <w:name w:val="M-2 Char"/>
    <w:basedOn w:val="Standardnpsmoodstavce"/>
    <w:link w:val="M-2"/>
    <w:rsid w:val="0014093B"/>
    <w:rPr>
      <w:rFonts w:ascii="Arial" w:hAnsi="Arial"/>
      <w:sz w:val="24"/>
      <w:szCs w:val="24"/>
      <w:lang w:val="cs-CZ" w:eastAsia="cs-CZ" w:bidi="ar-SA"/>
    </w:rPr>
  </w:style>
  <w:style w:type="character" w:styleId="Odkaznakoment">
    <w:name w:val="annotation reference"/>
    <w:basedOn w:val="Standardnpsmoodstavce"/>
    <w:semiHidden/>
    <w:rsid w:val="00D4644F"/>
    <w:rPr>
      <w:sz w:val="16"/>
      <w:szCs w:val="16"/>
    </w:rPr>
  </w:style>
  <w:style w:type="paragraph" w:styleId="Textkomente">
    <w:name w:val="annotation text"/>
    <w:basedOn w:val="Normln"/>
    <w:semiHidden/>
    <w:rsid w:val="00D4644F"/>
    <w:rPr>
      <w:sz w:val="20"/>
      <w:szCs w:val="20"/>
    </w:rPr>
  </w:style>
  <w:style w:type="paragraph" w:styleId="Pedmtkomente">
    <w:name w:val="annotation subject"/>
    <w:basedOn w:val="Textkomente"/>
    <w:next w:val="Textkomente"/>
    <w:semiHidden/>
    <w:rsid w:val="00D4644F"/>
    <w:rPr>
      <w:b/>
      <w:bCs/>
    </w:rPr>
  </w:style>
  <w:style w:type="paragraph" w:styleId="Textbubliny">
    <w:name w:val="Balloon Text"/>
    <w:basedOn w:val="Normln"/>
    <w:semiHidden/>
    <w:rsid w:val="00D4644F"/>
    <w:rPr>
      <w:rFonts w:ascii="Tahoma" w:hAnsi="Tahoma" w:cs="Tahoma"/>
      <w:sz w:val="16"/>
      <w:szCs w:val="16"/>
    </w:rPr>
  </w:style>
  <w:style w:type="paragraph" w:styleId="Titulek">
    <w:name w:val="caption"/>
    <w:basedOn w:val="Normln"/>
    <w:next w:val="Normln"/>
    <w:qFormat/>
    <w:rsid w:val="00D4644F"/>
    <w:rPr>
      <w:b/>
      <w:bCs/>
      <w:sz w:val="20"/>
      <w:szCs w:val="20"/>
    </w:rPr>
  </w:style>
  <w:style w:type="paragraph" w:styleId="Normlnweb">
    <w:name w:val="Normal (Web)"/>
    <w:basedOn w:val="Normln"/>
    <w:uiPriority w:val="99"/>
    <w:rsid w:val="00E71E24"/>
    <w:pPr>
      <w:spacing w:before="100" w:beforeAutospacing="1" w:after="100" w:afterAutospacing="1"/>
    </w:pPr>
  </w:style>
  <w:style w:type="paragraph" w:styleId="Zkladntext3">
    <w:name w:val="Body Text 3"/>
    <w:basedOn w:val="Normln"/>
    <w:rsid w:val="003771D5"/>
    <w:pPr>
      <w:tabs>
        <w:tab w:val="left" w:pos="567"/>
      </w:tabs>
      <w:jc w:val="both"/>
    </w:pPr>
    <w:rPr>
      <w:szCs w:val="20"/>
    </w:rPr>
  </w:style>
  <w:style w:type="paragraph" w:styleId="Zkladntextodsazen">
    <w:name w:val="Body Text Indent"/>
    <w:basedOn w:val="Normln"/>
    <w:rsid w:val="003771D5"/>
    <w:pPr>
      <w:tabs>
        <w:tab w:val="left" w:pos="0"/>
        <w:tab w:val="left" w:pos="1985"/>
      </w:tabs>
      <w:ind w:left="2124" w:hanging="2124"/>
      <w:jc w:val="both"/>
    </w:pPr>
    <w:rPr>
      <w:szCs w:val="20"/>
    </w:rPr>
  </w:style>
  <w:style w:type="paragraph" w:styleId="Zkladntextodsazen2">
    <w:name w:val="Body Text Indent 2"/>
    <w:basedOn w:val="Normln"/>
    <w:rsid w:val="003771D5"/>
    <w:pPr>
      <w:tabs>
        <w:tab w:val="left" w:pos="284"/>
        <w:tab w:val="left" w:pos="567"/>
        <w:tab w:val="left" w:pos="1985"/>
      </w:tabs>
      <w:ind w:left="2127" w:hanging="2127"/>
      <w:jc w:val="both"/>
    </w:pPr>
    <w:rPr>
      <w:szCs w:val="20"/>
    </w:rPr>
  </w:style>
  <w:style w:type="paragraph" w:styleId="Zhlav">
    <w:name w:val="header"/>
    <w:basedOn w:val="Normln"/>
    <w:rsid w:val="00261927"/>
    <w:pPr>
      <w:tabs>
        <w:tab w:val="center" w:pos="4536"/>
        <w:tab w:val="right" w:pos="9072"/>
      </w:tabs>
    </w:pPr>
    <w:rPr>
      <w:szCs w:val="20"/>
    </w:rPr>
  </w:style>
  <w:style w:type="paragraph" w:styleId="Zkladntext">
    <w:name w:val="Body Text"/>
    <w:basedOn w:val="Normln"/>
    <w:rsid w:val="004D09CA"/>
    <w:pPr>
      <w:spacing w:after="120"/>
    </w:pPr>
  </w:style>
  <w:style w:type="paragraph" w:customStyle="1" w:styleId="StylZarovnatdobloku1">
    <w:name w:val="Styl Zarovnat do bloku1"/>
    <w:basedOn w:val="Normln"/>
    <w:rsid w:val="00F01B70"/>
    <w:pPr>
      <w:spacing w:after="120"/>
      <w:jc w:val="both"/>
    </w:pPr>
    <w:rPr>
      <w:szCs w:val="20"/>
    </w:rPr>
  </w:style>
  <w:style w:type="paragraph" w:customStyle="1" w:styleId="2norml">
    <w:name w:val="2 normál"/>
    <w:basedOn w:val="Normln"/>
    <w:rsid w:val="00F01B70"/>
    <w:pPr>
      <w:keepLines/>
      <w:overflowPunct w:val="0"/>
      <w:autoSpaceDE w:val="0"/>
      <w:autoSpaceDN w:val="0"/>
      <w:adjustRightInd w:val="0"/>
      <w:spacing w:before="120" w:line="280" w:lineRule="exact"/>
      <w:ind w:firstLine="709"/>
      <w:jc w:val="both"/>
      <w:textAlignment w:val="baseline"/>
    </w:pPr>
    <w:rPr>
      <w:szCs w:val="20"/>
    </w:rPr>
  </w:style>
  <w:style w:type="paragraph" w:customStyle="1" w:styleId="NADPIS">
    <w:name w:val="NADPIS"/>
    <w:basedOn w:val="Zkladntext"/>
    <w:rsid w:val="00F01B70"/>
    <w:pPr>
      <w:spacing w:after="280"/>
      <w:jc w:val="center"/>
    </w:pPr>
    <w:rPr>
      <w:b/>
      <w:sz w:val="28"/>
      <w:szCs w:val="20"/>
    </w:rPr>
  </w:style>
  <w:style w:type="paragraph" w:customStyle="1" w:styleId="111">
    <w:name w:val="111"/>
    <w:basedOn w:val="Normln"/>
    <w:rsid w:val="00F01B70"/>
    <w:pPr>
      <w:numPr>
        <w:numId w:val="9"/>
      </w:numPr>
    </w:pPr>
    <w:rPr>
      <w:sz w:val="28"/>
      <w:szCs w:val="20"/>
    </w:rPr>
  </w:style>
  <w:style w:type="paragraph" w:customStyle="1" w:styleId="normln0">
    <w:name w:val="normální"/>
    <w:basedOn w:val="Normln"/>
    <w:semiHidden/>
    <w:rsid w:val="00F01B70"/>
    <w:rPr>
      <w:sz w:val="28"/>
    </w:rPr>
  </w:style>
  <w:style w:type="paragraph" w:customStyle="1" w:styleId="ODSAZEN">
    <w:name w:val="ODSAZEN"/>
    <w:basedOn w:val="Normln"/>
    <w:rsid w:val="00F01B70"/>
    <w:pPr>
      <w:tabs>
        <w:tab w:val="num" w:pos="927"/>
      </w:tabs>
      <w:ind w:left="737" w:hanging="170"/>
    </w:pPr>
    <w:rPr>
      <w:sz w:val="28"/>
      <w:szCs w:val="20"/>
    </w:rPr>
  </w:style>
  <w:style w:type="paragraph" w:customStyle="1" w:styleId="Nadpis-podtren">
    <w:name w:val="Nadpis-podtržený"/>
    <w:basedOn w:val="Normln"/>
    <w:rsid w:val="00F1106B"/>
    <w:pPr>
      <w:spacing w:before="60" w:after="60"/>
      <w:jc w:val="both"/>
    </w:pPr>
    <w:rPr>
      <w:u w:val="single"/>
    </w:rPr>
  </w:style>
  <w:style w:type="character" w:styleId="Hypertextovodkaz">
    <w:name w:val="Hyperlink"/>
    <w:basedOn w:val="Standardnpsmoodstavce"/>
    <w:rsid w:val="006A1765"/>
    <w:rPr>
      <w:color w:val="0000FF"/>
      <w:u w:val="single"/>
    </w:rPr>
  </w:style>
  <w:style w:type="paragraph" w:customStyle="1" w:styleId="subpicture">
    <w:name w:val="subpicture"/>
    <w:basedOn w:val="Normln"/>
    <w:rsid w:val="00084052"/>
    <w:pPr>
      <w:spacing w:before="100" w:beforeAutospacing="1" w:after="100" w:afterAutospacing="1"/>
      <w:jc w:val="center"/>
    </w:pPr>
    <w:rPr>
      <w:rFonts w:ascii="Arial" w:hAnsi="Arial" w:cs="Arial"/>
      <w:b/>
      <w:bCs/>
      <w:color w:val="1A4A88"/>
      <w:sz w:val="15"/>
      <w:szCs w:val="15"/>
    </w:rPr>
  </w:style>
  <w:style w:type="character" w:styleId="Siln">
    <w:name w:val="Strong"/>
    <w:basedOn w:val="Standardnpsmoodstavce"/>
    <w:qFormat/>
    <w:rsid w:val="00084052"/>
    <w:rPr>
      <w:b/>
      <w:bCs/>
    </w:rPr>
  </w:style>
  <w:style w:type="character" w:customStyle="1" w:styleId="clankyodstavec1">
    <w:name w:val="clanky_odstavec1"/>
    <w:basedOn w:val="Standardnpsmoodstavce"/>
    <w:rsid w:val="009F16CC"/>
    <w:rPr>
      <w:vanish w:val="0"/>
      <w:webHidden w:val="0"/>
      <w:specVanish w:val="0"/>
    </w:rPr>
  </w:style>
  <w:style w:type="paragraph" w:styleId="Zkladntextodsazen3">
    <w:name w:val="Body Text Indent 3"/>
    <w:basedOn w:val="Normln"/>
    <w:rsid w:val="00895330"/>
    <w:pPr>
      <w:spacing w:after="120"/>
      <w:ind w:left="283"/>
    </w:pPr>
    <w:rPr>
      <w:sz w:val="16"/>
      <w:szCs w:val="16"/>
    </w:rPr>
  </w:style>
  <w:style w:type="paragraph" w:customStyle="1" w:styleId="Styl1">
    <w:name w:val="Styl1"/>
    <w:basedOn w:val="Normln"/>
    <w:rsid w:val="00BF28F7"/>
    <w:rPr>
      <w:szCs w:val="20"/>
    </w:rPr>
  </w:style>
  <w:style w:type="paragraph" w:customStyle="1" w:styleId="azkladntext">
    <w:name w:val="a základní text"/>
    <w:basedOn w:val="Normln"/>
    <w:link w:val="azkladntextCharChar"/>
    <w:rsid w:val="00B2251A"/>
    <w:pPr>
      <w:tabs>
        <w:tab w:val="left" w:pos="709"/>
      </w:tabs>
      <w:spacing w:before="120" w:line="360" w:lineRule="auto"/>
      <w:ind w:firstLine="709"/>
      <w:jc w:val="both"/>
    </w:pPr>
    <w:rPr>
      <w:rFonts w:ascii="Arial" w:hAnsi="Arial"/>
      <w:szCs w:val="20"/>
    </w:rPr>
  </w:style>
  <w:style w:type="character" w:customStyle="1" w:styleId="azkladntextCharChar">
    <w:name w:val="a základní text Char Char"/>
    <w:basedOn w:val="Standardnpsmoodstavce"/>
    <w:link w:val="azkladntext"/>
    <w:rsid w:val="00B2251A"/>
    <w:rPr>
      <w:rFonts w:ascii="Arial" w:hAnsi="Arial"/>
      <w:sz w:val="24"/>
      <w:lang w:val="cs-CZ" w:eastAsia="cs-CZ" w:bidi="ar-SA"/>
    </w:rPr>
  </w:style>
  <w:style w:type="paragraph" w:customStyle="1" w:styleId="Nadpis20">
    <w:name w:val="Nadpis2"/>
    <w:basedOn w:val="Nadpis2"/>
    <w:next w:val="azkladntext"/>
    <w:rsid w:val="00B2251A"/>
    <w:pPr>
      <w:numPr>
        <w:numId w:val="27"/>
      </w:numPr>
      <w:tabs>
        <w:tab w:val="clear" w:pos="567"/>
        <w:tab w:val="clear" w:pos="765"/>
      </w:tabs>
      <w:spacing w:before="240" w:after="120"/>
    </w:pPr>
    <w:rPr>
      <w:rFonts w:cs="Times New Roman"/>
      <w:bCs w:val="0"/>
      <w:iCs w:val="0"/>
      <w:szCs w:val="20"/>
    </w:rPr>
  </w:style>
  <w:style w:type="paragraph" w:customStyle="1" w:styleId="nadpis30">
    <w:name w:val="nadpis3"/>
    <w:basedOn w:val="Nadpis20"/>
    <w:next w:val="azkladntext"/>
    <w:rsid w:val="00B2251A"/>
    <w:pPr>
      <w:numPr>
        <w:ilvl w:val="2"/>
      </w:numPr>
    </w:pPr>
    <w:rPr>
      <w:bCs/>
      <w:kern w:val="28"/>
      <w:sz w:val="24"/>
    </w:rPr>
  </w:style>
  <w:style w:type="paragraph" w:customStyle="1" w:styleId="azkltext-sted">
    <w:name w:val="a zákl. text - střed"/>
    <w:basedOn w:val="azkladntext"/>
    <w:rsid w:val="00B2251A"/>
    <w:pPr>
      <w:spacing w:before="0" w:after="240"/>
      <w:ind w:firstLine="0"/>
      <w:jc w:val="center"/>
    </w:pPr>
  </w:style>
  <w:style w:type="paragraph" w:customStyle="1" w:styleId="Odrky">
    <w:name w:val="Odrážky"/>
    <w:link w:val="OdrkyCharChar"/>
    <w:autoRedefine/>
    <w:rsid w:val="00C23A72"/>
    <w:pPr>
      <w:numPr>
        <w:numId w:val="28"/>
      </w:numPr>
      <w:tabs>
        <w:tab w:val="left" w:pos="851"/>
        <w:tab w:val="left" w:pos="1418"/>
      </w:tabs>
      <w:spacing w:line="360" w:lineRule="auto"/>
      <w:jc w:val="both"/>
    </w:pPr>
    <w:rPr>
      <w:rFonts w:ascii="Arial" w:hAnsi="Arial" w:cs="Arial"/>
      <w:bCs/>
      <w:snapToGrid w:val="0"/>
      <w:spacing w:val="-4"/>
      <w:sz w:val="24"/>
      <w:szCs w:val="24"/>
    </w:rPr>
  </w:style>
  <w:style w:type="character" w:customStyle="1" w:styleId="OdrkyCharChar">
    <w:name w:val="Odrážky Char Char"/>
    <w:basedOn w:val="Standardnpsmoodstavce"/>
    <w:link w:val="Odrky"/>
    <w:rsid w:val="00C23A72"/>
    <w:rPr>
      <w:rFonts w:ascii="Arial" w:hAnsi="Arial" w:cs="Arial"/>
      <w:bCs/>
      <w:snapToGrid w:val="0"/>
      <w:spacing w:val="-4"/>
      <w:sz w:val="24"/>
      <w:szCs w:val="24"/>
      <w:lang w:val="cs-CZ" w:eastAsia="cs-CZ" w:bidi="ar-SA"/>
    </w:rPr>
  </w:style>
  <w:style w:type="paragraph" w:customStyle="1" w:styleId="odrka2">
    <w:name w:val="odrážka2"/>
    <w:basedOn w:val="Normln"/>
    <w:rsid w:val="00C23A72"/>
    <w:pPr>
      <w:numPr>
        <w:numId w:val="29"/>
      </w:numPr>
      <w:tabs>
        <w:tab w:val="clear" w:pos="1418"/>
        <w:tab w:val="num" w:pos="720"/>
      </w:tabs>
      <w:spacing w:line="360" w:lineRule="auto"/>
      <w:ind w:left="714" w:hanging="357"/>
      <w:jc w:val="both"/>
    </w:pPr>
    <w:rPr>
      <w:rFonts w:ascii="Arial" w:eastAsia="Calibri" w:hAnsi="Arial" w:cs="Arial"/>
      <w:lang w:eastAsia="en-US"/>
    </w:rPr>
  </w:style>
  <w:style w:type="paragraph" w:customStyle="1" w:styleId="StylNadpis1">
    <w:name w:val="Styl Nadpis 1"/>
    <w:aliases w:val="bez číslování"/>
    <w:basedOn w:val="Nadpis1"/>
    <w:autoRedefine/>
    <w:rsid w:val="00DC69D6"/>
    <w:pPr>
      <w:numPr>
        <w:numId w:val="30"/>
      </w:numPr>
      <w:spacing w:before="240" w:after="240"/>
    </w:pPr>
    <w:rPr>
      <w:rFonts w:cs="Times New Roman"/>
      <w:caps/>
      <w:kern w:val="28"/>
      <w:szCs w:val="20"/>
    </w:rPr>
  </w:style>
  <w:style w:type="character" w:styleId="Sledovanodkaz">
    <w:name w:val="FollowedHyperlink"/>
    <w:basedOn w:val="Standardnpsmoodstavce"/>
    <w:rsid w:val="001A4F1B"/>
    <w:rPr>
      <w:color w:val="954F72" w:themeColor="followedHyperlink"/>
      <w:u w:val="single"/>
    </w:rPr>
  </w:style>
  <w:style w:type="paragraph" w:customStyle="1" w:styleId="ods">
    <w:name w:val="ods"/>
    <w:basedOn w:val="Normln"/>
    <w:rsid w:val="00F95B90"/>
    <w:pPr>
      <w:spacing w:before="100" w:beforeAutospacing="1" w:after="100" w:afterAutospacing="1"/>
    </w:pPr>
  </w:style>
  <w:style w:type="character" w:styleId="Zdraznn">
    <w:name w:val="Emphasis"/>
    <w:basedOn w:val="Standardnpsmoodstavce"/>
    <w:uiPriority w:val="20"/>
    <w:qFormat/>
    <w:rsid w:val="00460C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38117">
      <w:bodyDiv w:val="1"/>
      <w:marLeft w:val="0"/>
      <w:marRight w:val="0"/>
      <w:marTop w:val="0"/>
      <w:marBottom w:val="0"/>
      <w:divBdr>
        <w:top w:val="none" w:sz="0" w:space="0" w:color="auto"/>
        <w:left w:val="none" w:sz="0" w:space="0" w:color="auto"/>
        <w:bottom w:val="none" w:sz="0" w:space="0" w:color="auto"/>
        <w:right w:val="none" w:sz="0" w:space="0" w:color="auto"/>
      </w:divBdr>
      <w:divsChild>
        <w:div w:id="1779326749">
          <w:marLeft w:val="0"/>
          <w:marRight w:val="0"/>
          <w:marTop w:val="0"/>
          <w:marBottom w:val="0"/>
          <w:divBdr>
            <w:top w:val="none" w:sz="0" w:space="0" w:color="auto"/>
            <w:left w:val="none" w:sz="0" w:space="0" w:color="auto"/>
            <w:bottom w:val="none" w:sz="0" w:space="0" w:color="auto"/>
            <w:right w:val="none" w:sz="0" w:space="0" w:color="auto"/>
          </w:divBdr>
          <w:divsChild>
            <w:div w:id="1323848519">
              <w:marLeft w:val="0"/>
              <w:marRight w:val="0"/>
              <w:marTop w:val="0"/>
              <w:marBottom w:val="0"/>
              <w:divBdr>
                <w:top w:val="none" w:sz="0" w:space="0" w:color="auto"/>
                <w:left w:val="none" w:sz="0" w:space="0" w:color="auto"/>
                <w:bottom w:val="none" w:sz="0" w:space="0" w:color="auto"/>
                <w:right w:val="none" w:sz="0" w:space="0" w:color="auto"/>
              </w:divBdr>
              <w:divsChild>
                <w:div w:id="988173333">
                  <w:marLeft w:val="0"/>
                  <w:marRight w:val="0"/>
                  <w:marTop w:val="0"/>
                  <w:marBottom w:val="0"/>
                  <w:divBdr>
                    <w:top w:val="none" w:sz="0" w:space="0" w:color="auto"/>
                    <w:left w:val="none" w:sz="0" w:space="0" w:color="auto"/>
                    <w:bottom w:val="none" w:sz="0" w:space="0" w:color="auto"/>
                    <w:right w:val="none" w:sz="0" w:space="0" w:color="auto"/>
                  </w:divBdr>
                  <w:divsChild>
                    <w:div w:id="1053967950">
                      <w:marLeft w:val="0"/>
                      <w:marRight w:val="0"/>
                      <w:marTop w:val="0"/>
                      <w:marBottom w:val="0"/>
                      <w:divBdr>
                        <w:top w:val="none" w:sz="0" w:space="0" w:color="auto"/>
                        <w:left w:val="none" w:sz="0" w:space="0" w:color="auto"/>
                        <w:bottom w:val="none" w:sz="0" w:space="0" w:color="auto"/>
                        <w:right w:val="none" w:sz="0" w:space="0" w:color="auto"/>
                      </w:divBdr>
                      <w:divsChild>
                        <w:div w:id="557014641">
                          <w:marLeft w:val="0"/>
                          <w:marRight w:val="0"/>
                          <w:marTop w:val="0"/>
                          <w:marBottom w:val="0"/>
                          <w:divBdr>
                            <w:top w:val="none" w:sz="0" w:space="0" w:color="auto"/>
                            <w:left w:val="none" w:sz="0" w:space="0" w:color="auto"/>
                            <w:bottom w:val="none" w:sz="0" w:space="0" w:color="auto"/>
                            <w:right w:val="none" w:sz="0" w:space="0" w:color="auto"/>
                          </w:divBdr>
                          <w:divsChild>
                            <w:div w:id="813179383">
                              <w:marLeft w:val="0"/>
                              <w:marRight w:val="0"/>
                              <w:marTop w:val="0"/>
                              <w:marBottom w:val="0"/>
                              <w:divBdr>
                                <w:top w:val="none" w:sz="0" w:space="0" w:color="auto"/>
                                <w:left w:val="none" w:sz="0" w:space="0" w:color="auto"/>
                                <w:bottom w:val="none" w:sz="0" w:space="0" w:color="auto"/>
                                <w:right w:val="none" w:sz="0" w:space="0" w:color="auto"/>
                              </w:divBdr>
                              <w:divsChild>
                                <w:div w:id="1423066148">
                                  <w:marLeft w:val="0"/>
                                  <w:marRight w:val="0"/>
                                  <w:marTop w:val="0"/>
                                  <w:marBottom w:val="0"/>
                                  <w:divBdr>
                                    <w:top w:val="none" w:sz="0" w:space="0" w:color="auto"/>
                                    <w:left w:val="none" w:sz="0" w:space="0" w:color="auto"/>
                                    <w:bottom w:val="none" w:sz="0" w:space="0" w:color="auto"/>
                                    <w:right w:val="none" w:sz="0" w:space="0" w:color="auto"/>
                                  </w:divBdr>
                                  <w:divsChild>
                                    <w:div w:id="12281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05217">
      <w:bodyDiv w:val="1"/>
      <w:marLeft w:val="0"/>
      <w:marRight w:val="0"/>
      <w:marTop w:val="0"/>
      <w:marBottom w:val="0"/>
      <w:divBdr>
        <w:top w:val="none" w:sz="0" w:space="0" w:color="auto"/>
        <w:left w:val="none" w:sz="0" w:space="0" w:color="auto"/>
        <w:bottom w:val="none" w:sz="0" w:space="0" w:color="auto"/>
        <w:right w:val="none" w:sz="0" w:space="0" w:color="auto"/>
      </w:divBdr>
    </w:div>
    <w:div w:id="177425825">
      <w:bodyDiv w:val="1"/>
      <w:marLeft w:val="0"/>
      <w:marRight w:val="0"/>
      <w:marTop w:val="0"/>
      <w:marBottom w:val="0"/>
      <w:divBdr>
        <w:top w:val="none" w:sz="0" w:space="0" w:color="auto"/>
        <w:left w:val="none" w:sz="0" w:space="0" w:color="auto"/>
        <w:bottom w:val="none" w:sz="0" w:space="0" w:color="auto"/>
        <w:right w:val="none" w:sz="0" w:space="0" w:color="auto"/>
      </w:divBdr>
      <w:divsChild>
        <w:div w:id="76755402">
          <w:marLeft w:val="0"/>
          <w:marRight w:val="0"/>
          <w:marTop w:val="0"/>
          <w:marBottom w:val="0"/>
          <w:divBdr>
            <w:top w:val="none" w:sz="0" w:space="0" w:color="auto"/>
            <w:left w:val="none" w:sz="0" w:space="0" w:color="auto"/>
            <w:bottom w:val="none" w:sz="0" w:space="0" w:color="auto"/>
            <w:right w:val="none" w:sz="0" w:space="0" w:color="auto"/>
          </w:divBdr>
        </w:div>
        <w:div w:id="94903721">
          <w:marLeft w:val="0"/>
          <w:marRight w:val="0"/>
          <w:marTop w:val="0"/>
          <w:marBottom w:val="0"/>
          <w:divBdr>
            <w:top w:val="none" w:sz="0" w:space="0" w:color="auto"/>
            <w:left w:val="none" w:sz="0" w:space="0" w:color="auto"/>
            <w:bottom w:val="none" w:sz="0" w:space="0" w:color="auto"/>
            <w:right w:val="none" w:sz="0" w:space="0" w:color="auto"/>
          </w:divBdr>
        </w:div>
        <w:div w:id="129133728">
          <w:marLeft w:val="0"/>
          <w:marRight w:val="0"/>
          <w:marTop w:val="0"/>
          <w:marBottom w:val="0"/>
          <w:divBdr>
            <w:top w:val="none" w:sz="0" w:space="0" w:color="auto"/>
            <w:left w:val="none" w:sz="0" w:space="0" w:color="auto"/>
            <w:bottom w:val="none" w:sz="0" w:space="0" w:color="auto"/>
            <w:right w:val="none" w:sz="0" w:space="0" w:color="auto"/>
          </w:divBdr>
        </w:div>
        <w:div w:id="175581645">
          <w:marLeft w:val="0"/>
          <w:marRight w:val="0"/>
          <w:marTop w:val="0"/>
          <w:marBottom w:val="0"/>
          <w:divBdr>
            <w:top w:val="none" w:sz="0" w:space="0" w:color="auto"/>
            <w:left w:val="none" w:sz="0" w:space="0" w:color="auto"/>
            <w:bottom w:val="none" w:sz="0" w:space="0" w:color="auto"/>
            <w:right w:val="none" w:sz="0" w:space="0" w:color="auto"/>
          </w:divBdr>
        </w:div>
        <w:div w:id="227620559">
          <w:marLeft w:val="0"/>
          <w:marRight w:val="0"/>
          <w:marTop w:val="0"/>
          <w:marBottom w:val="0"/>
          <w:divBdr>
            <w:top w:val="none" w:sz="0" w:space="0" w:color="auto"/>
            <w:left w:val="none" w:sz="0" w:space="0" w:color="auto"/>
            <w:bottom w:val="none" w:sz="0" w:space="0" w:color="auto"/>
            <w:right w:val="none" w:sz="0" w:space="0" w:color="auto"/>
          </w:divBdr>
        </w:div>
        <w:div w:id="288633375">
          <w:marLeft w:val="0"/>
          <w:marRight w:val="0"/>
          <w:marTop w:val="0"/>
          <w:marBottom w:val="0"/>
          <w:divBdr>
            <w:top w:val="none" w:sz="0" w:space="0" w:color="auto"/>
            <w:left w:val="none" w:sz="0" w:space="0" w:color="auto"/>
            <w:bottom w:val="none" w:sz="0" w:space="0" w:color="auto"/>
            <w:right w:val="none" w:sz="0" w:space="0" w:color="auto"/>
          </w:divBdr>
        </w:div>
        <w:div w:id="291864357">
          <w:marLeft w:val="0"/>
          <w:marRight w:val="0"/>
          <w:marTop w:val="0"/>
          <w:marBottom w:val="0"/>
          <w:divBdr>
            <w:top w:val="none" w:sz="0" w:space="0" w:color="auto"/>
            <w:left w:val="none" w:sz="0" w:space="0" w:color="auto"/>
            <w:bottom w:val="none" w:sz="0" w:space="0" w:color="auto"/>
            <w:right w:val="none" w:sz="0" w:space="0" w:color="auto"/>
          </w:divBdr>
        </w:div>
        <w:div w:id="393936899">
          <w:marLeft w:val="0"/>
          <w:marRight w:val="0"/>
          <w:marTop w:val="0"/>
          <w:marBottom w:val="0"/>
          <w:divBdr>
            <w:top w:val="none" w:sz="0" w:space="0" w:color="auto"/>
            <w:left w:val="none" w:sz="0" w:space="0" w:color="auto"/>
            <w:bottom w:val="none" w:sz="0" w:space="0" w:color="auto"/>
            <w:right w:val="none" w:sz="0" w:space="0" w:color="auto"/>
          </w:divBdr>
        </w:div>
        <w:div w:id="466436288">
          <w:marLeft w:val="0"/>
          <w:marRight w:val="0"/>
          <w:marTop w:val="0"/>
          <w:marBottom w:val="0"/>
          <w:divBdr>
            <w:top w:val="none" w:sz="0" w:space="0" w:color="auto"/>
            <w:left w:val="none" w:sz="0" w:space="0" w:color="auto"/>
            <w:bottom w:val="none" w:sz="0" w:space="0" w:color="auto"/>
            <w:right w:val="none" w:sz="0" w:space="0" w:color="auto"/>
          </w:divBdr>
        </w:div>
        <w:div w:id="649406995">
          <w:marLeft w:val="0"/>
          <w:marRight w:val="0"/>
          <w:marTop w:val="0"/>
          <w:marBottom w:val="0"/>
          <w:divBdr>
            <w:top w:val="none" w:sz="0" w:space="0" w:color="auto"/>
            <w:left w:val="none" w:sz="0" w:space="0" w:color="auto"/>
            <w:bottom w:val="none" w:sz="0" w:space="0" w:color="auto"/>
            <w:right w:val="none" w:sz="0" w:space="0" w:color="auto"/>
          </w:divBdr>
        </w:div>
        <w:div w:id="672873876">
          <w:marLeft w:val="0"/>
          <w:marRight w:val="0"/>
          <w:marTop w:val="0"/>
          <w:marBottom w:val="0"/>
          <w:divBdr>
            <w:top w:val="none" w:sz="0" w:space="0" w:color="auto"/>
            <w:left w:val="none" w:sz="0" w:space="0" w:color="auto"/>
            <w:bottom w:val="none" w:sz="0" w:space="0" w:color="auto"/>
            <w:right w:val="none" w:sz="0" w:space="0" w:color="auto"/>
          </w:divBdr>
        </w:div>
        <w:div w:id="725304086">
          <w:marLeft w:val="0"/>
          <w:marRight w:val="0"/>
          <w:marTop w:val="0"/>
          <w:marBottom w:val="0"/>
          <w:divBdr>
            <w:top w:val="none" w:sz="0" w:space="0" w:color="auto"/>
            <w:left w:val="none" w:sz="0" w:space="0" w:color="auto"/>
            <w:bottom w:val="none" w:sz="0" w:space="0" w:color="auto"/>
            <w:right w:val="none" w:sz="0" w:space="0" w:color="auto"/>
          </w:divBdr>
        </w:div>
        <w:div w:id="742684842">
          <w:marLeft w:val="0"/>
          <w:marRight w:val="0"/>
          <w:marTop w:val="0"/>
          <w:marBottom w:val="0"/>
          <w:divBdr>
            <w:top w:val="none" w:sz="0" w:space="0" w:color="auto"/>
            <w:left w:val="none" w:sz="0" w:space="0" w:color="auto"/>
            <w:bottom w:val="none" w:sz="0" w:space="0" w:color="auto"/>
            <w:right w:val="none" w:sz="0" w:space="0" w:color="auto"/>
          </w:divBdr>
        </w:div>
        <w:div w:id="796723067">
          <w:marLeft w:val="0"/>
          <w:marRight w:val="0"/>
          <w:marTop w:val="0"/>
          <w:marBottom w:val="0"/>
          <w:divBdr>
            <w:top w:val="none" w:sz="0" w:space="0" w:color="auto"/>
            <w:left w:val="none" w:sz="0" w:space="0" w:color="auto"/>
            <w:bottom w:val="none" w:sz="0" w:space="0" w:color="auto"/>
            <w:right w:val="none" w:sz="0" w:space="0" w:color="auto"/>
          </w:divBdr>
        </w:div>
        <w:div w:id="834956239">
          <w:marLeft w:val="0"/>
          <w:marRight w:val="0"/>
          <w:marTop w:val="0"/>
          <w:marBottom w:val="0"/>
          <w:divBdr>
            <w:top w:val="none" w:sz="0" w:space="0" w:color="auto"/>
            <w:left w:val="none" w:sz="0" w:space="0" w:color="auto"/>
            <w:bottom w:val="none" w:sz="0" w:space="0" w:color="auto"/>
            <w:right w:val="none" w:sz="0" w:space="0" w:color="auto"/>
          </w:divBdr>
        </w:div>
        <w:div w:id="894514570">
          <w:marLeft w:val="0"/>
          <w:marRight w:val="0"/>
          <w:marTop w:val="0"/>
          <w:marBottom w:val="0"/>
          <w:divBdr>
            <w:top w:val="none" w:sz="0" w:space="0" w:color="auto"/>
            <w:left w:val="none" w:sz="0" w:space="0" w:color="auto"/>
            <w:bottom w:val="none" w:sz="0" w:space="0" w:color="auto"/>
            <w:right w:val="none" w:sz="0" w:space="0" w:color="auto"/>
          </w:divBdr>
        </w:div>
        <w:div w:id="1036731822">
          <w:marLeft w:val="0"/>
          <w:marRight w:val="0"/>
          <w:marTop w:val="0"/>
          <w:marBottom w:val="0"/>
          <w:divBdr>
            <w:top w:val="none" w:sz="0" w:space="0" w:color="auto"/>
            <w:left w:val="none" w:sz="0" w:space="0" w:color="auto"/>
            <w:bottom w:val="none" w:sz="0" w:space="0" w:color="auto"/>
            <w:right w:val="none" w:sz="0" w:space="0" w:color="auto"/>
          </w:divBdr>
        </w:div>
        <w:div w:id="1106265583">
          <w:marLeft w:val="0"/>
          <w:marRight w:val="0"/>
          <w:marTop w:val="0"/>
          <w:marBottom w:val="0"/>
          <w:divBdr>
            <w:top w:val="none" w:sz="0" w:space="0" w:color="auto"/>
            <w:left w:val="none" w:sz="0" w:space="0" w:color="auto"/>
            <w:bottom w:val="none" w:sz="0" w:space="0" w:color="auto"/>
            <w:right w:val="none" w:sz="0" w:space="0" w:color="auto"/>
          </w:divBdr>
        </w:div>
        <w:div w:id="1180239294">
          <w:marLeft w:val="0"/>
          <w:marRight w:val="0"/>
          <w:marTop w:val="0"/>
          <w:marBottom w:val="0"/>
          <w:divBdr>
            <w:top w:val="none" w:sz="0" w:space="0" w:color="auto"/>
            <w:left w:val="none" w:sz="0" w:space="0" w:color="auto"/>
            <w:bottom w:val="none" w:sz="0" w:space="0" w:color="auto"/>
            <w:right w:val="none" w:sz="0" w:space="0" w:color="auto"/>
          </w:divBdr>
        </w:div>
        <w:div w:id="1224679753">
          <w:marLeft w:val="0"/>
          <w:marRight w:val="0"/>
          <w:marTop w:val="0"/>
          <w:marBottom w:val="0"/>
          <w:divBdr>
            <w:top w:val="none" w:sz="0" w:space="0" w:color="auto"/>
            <w:left w:val="none" w:sz="0" w:space="0" w:color="auto"/>
            <w:bottom w:val="none" w:sz="0" w:space="0" w:color="auto"/>
            <w:right w:val="none" w:sz="0" w:space="0" w:color="auto"/>
          </w:divBdr>
        </w:div>
        <w:div w:id="1257397090">
          <w:marLeft w:val="0"/>
          <w:marRight w:val="0"/>
          <w:marTop w:val="0"/>
          <w:marBottom w:val="0"/>
          <w:divBdr>
            <w:top w:val="none" w:sz="0" w:space="0" w:color="auto"/>
            <w:left w:val="none" w:sz="0" w:space="0" w:color="auto"/>
            <w:bottom w:val="none" w:sz="0" w:space="0" w:color="auto"/>
            <w:right w:val="none" w:sz="0" w:space="0" w:color="auto"/>
          </w:divBdr>
        </w:div>
        <w:div w:id="1259680069">
          <w:marLeft w:val="0"/>
          <w:marRight w:val="0"/>
          <w:marTop w:val="0"/>
          <w:marBottom w:val="0"/>
          <w:divBdr>
            <w:top w:val="none" w:sz="0" w:space="0" w:color="auto"/>
            <w:left w:val="none" w:sz="0" w:space="0" w:color="auto"/>
            <w:bottom w:val="none" w:sz="0" w:space="0" w:color="auto"/>
            <w:right w:val="none" w:sz="0" w:space="0" w:color="auto"/>
          </w:divBdr>
        </w:div>
        <w:div w:id="1274678331">
          <w:marLeft w:val="0"/>
          <w:marRight w:val="0"/>
          <w:marTop w:val="0"/>
          <w:marBottom w:val="0"/>
          <w:divBdr>
            <w:top w:val="none" w:sz="0" w:space="0" w:color="auto"/>
            <w:left w:val="none" w:sz="0" w:space="0" w:color="auto"/>
            <w:bottom w:val="none" w:sz="0" w:space="0" w:color="auto"/>
            <w:right w:val="none" w:sz="0" w:space="0" w:color="auto"/>
          </w:divBdr>
        </w:div>
        <w:div w:id="1318341799">
          <w:marLeft w:val="0"/>
          <w:marRight w:val="0"/>
          <w:marTop w:val="0"/>
          <w:marBottom w:val="0"/>
          <w:divBdr>
            <w:top w:val="none" w:sz="0" w:space="0" w:color="auto"/>
            <w:left w:val="none" w:sz="0" w:space="0" w:color="auto"/>
            <w:bottom w:val="none" w:sz="0" w:space="0" w:color="auto"/>
            <w:right w:val="none" w:sz="0" w:space="0" w:color="auto"/>
          </w:divBdr>
        </w:div>
        <w:div w:id="1460100670">
          <w:marLeft w:val="0"/>
          <w:marRight w:val="0"/>
          <w:marTop w:val="0"/>
          <w:marBottom w:val="0"/>
          <w:divBdr>
            <w:top w:val="none" w:sz="0" w:space="0" w:color="auto"/>
            <w:left w:val="none" w:sz="0" w:space="0" w:color="auto"/>
            <w:bottom w:val="none" w:sz="0" w:space="0" w:color="auto"/>
            <w:right w:val="none" w:sz="0" w:space="0" w:color="auto"/>
          </w:divBdr>
        </w:div>
        <w:div w:id="1487014366">
          <w:marLeft w:val="0"/>
          <w:marRight w:val="0"/>
          <w:marTop w:val="0"/>
          <w:marBottom w:val="0"/>
          <w:divBdr>
            <w:top w:val="none" w:sz="0" w:space="0" w:color="auto"/>
            <w:left w:val="none" w:sz="0" w:space="0" w:color="auto"/>
            <w:bottom w:val="none" w:sz="0" w:space="0" w:color="auto"/>
            <w:right w:val="none" w:sz="0" w:space="0" w:color="auto"/>
          </w:divBdr>
        </w:div>
        <w:div w:id="1489786136">
          <w:marLeft w:val="0"/>
          <w:marRight w:val="0"/>
          <w:marTop w:val="0"/>
          <w:marBottom w:val="0"/>
          <w:divBdr>
            <w:top w:val="none" w:sz="0" w:space="0" w:color="auto"/>
            <w:left w:val="none" w:sz="0" w:space="0" w:color="auto"/>
            <w:bottom w:val="none" w:sz="0" w:space="0" w:color="auto"/>
            <w:right w:val="none" w:sz="0" w:space="0" w:color="auto"/>
          </w:divBdr>
        </w:div>
        <w:div w:id="1532768079">
          <w:marLeft w:val="0"/>
          <w:marRight w:val="0"/>
          <w:marTop w:val="0"/>
          <w:marBottom w:val="0"/>
          <w:divBdr>
            <w:top w:val="none" w:sz="0" w:space="0" w:color="auto"/>
            <w:left w:val="none" w:sz="0" w:space="0" w:color="auto"/>
            <w:bottom w:val="none" w:sz="0" w:space="0" w:color="auto"/>
            <w:right w:val="none" w:sz="0" w:space="0" w:color="auto"/>
          </w:divBdr>
        </w:div>
        <w:div w:id="1601990709">
          <w:marLeft w:val="0"/>
          <w:marRight w:val="0"/>
          <w:marTop w:val="0"/>
          <w:marBottom w:val="0"/>
          <w:divBdr>
            <w:top w:val="none" w:sz="0" w:space="0" w:color="auto"/>
            <w:left w:val="none" w:sz="0" w:space="0" w:color="auto"/>
            <w:bottom w:val="none" w:sz="0" w:space="0" w:color="auto"/>
            <w:right w:val="none" w:sz="0" w:space="0" w:color="auto"/>
          </w:divBdr>
        </w:div>
        <w:div w:id="1715887039">
          <w:marLeft w:val="0"/>
          <w:marRight w:val="0"/>
          <w:marTop w:val="0"/>
          <w:marBottom w:val="0"/>
          <w:divBdr>
            <w:top w:val="none" w:sz="0" w:space="0" w:color="auto"/>
            <w:left w:val="none" w:sz="0" w:space="0" w:color="auto"/>
            <w:bottom w:val="none" w:sz="0" w:space="0" w:color="auto"/>
            <w:right w:val="none" w:sz="0" w:space="0" w:color="auto"/>
          </w:divBdr>
        </w:div>
        <w:div w:id="1773478594">
          <w:marLeft w:val="0"/>
          <w:marRight w:val="0"/>
          <w:marTop w:val="0"/>
          <w:marBottom w:val="0"/>
          <w:divBdr>
            <w:top w:val="none" w:sz="0" w:space="0" w:color="auto"/>
            <w:left w:val="none" w:sz="0" w:space="0" w:color="auto"/>
            <w:bottom w:val="none" w:sz="0" w:space="0" w:color="auto"/>
            <w:right w:val="none" w:sz="0" w:space="0" w:color="auto"/>
          </w:divBdr>
        </w:div>
        <w:div w:id="1774663028">
          <w:marLeft w:val="0"/>
          <w:marRight w:val="0"/>
          <w:marTop w:val="0"/>
          <w:marBottom w:val="0"/>
          <w:divBdr>
            <w:top w:val="none" w:sz="0" w:space="0" w:color="auto"/>
            <w:left w:val="none" w:sz="0" w:space="0" w:color="auto"/>
            <w:bottom w:val="none" w:sz="0" w:space="0" w:color="auto"/>
            <w:right w:val="none" w:sz="0" w:space="0" w:color="auto"/>
          </w:divBdr>
        </w:div>
        <w:div w:id="1961834473">
          <w:marLeft w:val="0"/>
          <w:marRight w:val="0"/>
          <w:marTop w:val="0"/>
          <w:marBottom w:val="0"/>
          <w:divBdr>
            <w:top w:val="none" w:sz="0" w:space="0" w:color="auto"/>
            <w:left w:val="none" w:sz="0" w:space="0" w:color="auto"/>
            <w:bottom w:val="none" w:sz="0" w:space="0" w:color="auto"/>
            <w:right w:val="none" w:sz="0" w:space="0" w:color="auto"/>
          </w:divBdr>
        </w:div>
        <w:div w:id="2027829925">
          <w:marLeft w:val="0"/>
          <w:marRight w:val="0"/>
          <w:marTop w:val="0"/>
          <w:marBottom w:val="0"/>
          <w:divBdr>
            <w:top w:val="none" w:sz="0" w:space="0" w:color="auto"/>
            <w:left w:val="none" w:sz="0" w:space="0" w:color="auto"/>
            <w:bottom w:val="none" w:sz="0" w:space="0" w:color="auto"/>
            <w:right w:val="none" w:sz="0" w:space="0" w:color="auto"/>
          </w:divBdr>
        </w:div>
        <w:div w:id="2115974490">
          <w:marLeft w:val="0"/>
          <w:marRight w:val="0"/>
          <w:marTop w:val="0"/>
          <w:marBottom w:val="0"/>
          <w:divBdr>
            <w:top w:val="none" w:sz="0" w:space="0" w:color="auto"/>
            <w:left w:val="none" w:sz="0" w:space="0" w:color="auto"/>
            <w:bottom w:val="none" w:sz="0" w:space="0" w:color="auto"/>
            <w:right w:val="none" w:sz="0" w:space="0" w:color="auto"/>
          </w:divBdr>
        </w:div>
      </w:divsChild>
    </w:div>
    <w:div w:id="367490462">
      <w:bodyDiv w:val="1"/>
      <w:marLeft w:val="0"/>
      <w:marRight w:val="0"/>
      <w:marTop w:val="0"/>
      <w:marBottom w:val="0"/>
      <w:divBdr>
        <w:top w:val="none" w:sz="0" w:space="0" w:color="auto"/>
        <w:left w:val="none" w:sz="0" w:space="0" w:color="auto"/>
        <w:bottom w:val="none" w:sz="0" w:space="0" w:color="auto"/>
        <w:right w:val="none" w:sz="0" w:space="0" w:color="auto"/>
      </w:divBdr>
      <w:divsChild>
        <w:div w:id="243224445">
          <w:marLeft w:val="0"/>
          <w:marRight w:val="0"/>
          <w:marTop w:val="0"/>
          <w:marBottom w:val="0"/>
          <w:divBdr>
            <w:top w:val="none" w:sz="0" w:space="0" w:color="auto"/>
            <w:left w:val="none" w:sz="0" w:space="0" w:color="auto"/>
            <w:bottom w:val="none" w:sz="0" w:space="0" w:color="auto"/>
            <w:right w:val="none" w:sz="0" w:space="0" w:color="auto"/>
          </w:divBdr>
          <w:divsChild>
            <w:div w:id="422339808">
              <w:marLeft w:val="0"/>
              <w:marRight w:val="0"/>
              <w:marTop w:val="0"/>
              <w:marBottom w:val="0"/>
              <w:divBdr>
                <w:top w:val="none" w:sz="0" w:space="0" w:color="auto"/>
                <w:left w:val="none" w:sz="0" w:space="0" w:color="auto"/>
                <w:bottom w:val="none" w:sz="0" w:space="0" w:color="auto"/>
                <w:right w:val="none" w:sz="0" w:space="0" w:color="auto"/>
              </w:divBdr>
              <w:divsChild>
                <w:div w:id="902714775">
                  <w:marLeft w:val="0"/>
                  <w:marRight w:val="0"/>
                  <w:marTop w:val="0"/>
                  <w:marBottom w:val="0"/>
                  <w:divBdr>
                    <w:top w:val="none" w:sz="0" w:space="0" w:color="auto"/>
                    <w:left w:val="none" w:sz="0" w:space="0" w:color="auto"/>
                    <w:bottom w:val="none" w:sz="0" w:space="0" w:color="auto"/>
                    <w:right w:val="none" w:sz="0" w:space="0" w:color="auto"/>
                  </w:divBdr>
                  <w:divsChild>
                    <w:div w:id="21315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2415">
      <w:bodyDiv w:val="1"/>
      <w:marLeft w:val="0"/>
      <w:marRight w:val="0"/>
      <w:marTop w:val="0"/>
      <w:marBottom w:val="0"/>
      <w:divBdr>
        <w:top w:val="none" w:sz="0" w:space="0" w:color="auto"/>
        <w:left w:val="none" w:sz="0" w:space="0" w:color="auto"/>
        <w:bottom w:val="none" w:sz="0" w:space="0" w:color="auto"/>
        <w:right w:val="none" w:sz="0" w:space="0" w:color="auto"/>
      </w:divBdr>
    </w:div>
    <w:div w:id="447940190">
      <w:bodyDiv w:val="1"/>
      <w:marLeft w:val="0"/>
      <w:marRight w:val="0"/>
      <w:marTop w:val="0"/>
      <w:marBottom w:val="0"/>
      <w:divBdr>
        <w:top w:val="none" w:sz="0" w:space="0" w:color="auto"/>
        <w:left w:val="none" w:sz="0" w:space="0" w:color="auto"/>
        <w:bottom w:val="none" w:sz="0" w:space="0" w:color="auto"/>
        <w:right w:val="none" w:sz="0" w:space="0" w:color="auto"/>
      </w:divBdr>
    </w:div>
    <w:div w:id="482622341">
      <w:bodyDiv w:val="1"/>
      <w:marLeft w:val="0"/>
      <w:marRight w:val="0"/>
      <w:marTop w:val="0"/>
      <w:marBottom w:val="0"/>
      <w:divBdr>
        <w:top w:val="none" w:sz="0" w:space="0" w:color="auto"/>
        <w:left w:val="none" w:sz="0" w:space="0" w:color="auto"/>
        <w:bottom w:val="none" w:sz="0" w:space="0" w:color="auto"/>
        <w:right w:val="none" w:sz="0" w:space="0" w:color="auto"/>
      </w:divBdr>
    </w:div>
    <w:div w:id="500589664">
      <w:bodyDiv w:val="1"/>
      <w:marLeft w:val="0"/>
      <w:marRight w:val="0"/>
      <w:marTop w:val="0"/>
      <w:marBottom w:val="0"/>
      <w:divBdr>
        <w:top w:val="none" w:sz="0" w:space="0" w:color="auto"/>
        <w:left w:val="none" w:sz="0" w:space="0" w:color="auto"/>
        <w:bottom w:val="none" w:sz="0" w:space="0" w:color="auto"/>
        <w:right w:val="none" w:sz="0" w:space="0" w:color="auto"/>
      </w:divBdr>
    </w:div>
    <w:div w:id="563414394">
      <w:bodyDiv w:val="1"/>
      <w:marLeft w:val="0"/>
      <w:marRight w:val="0"/>
      <w:marTop w:val="0"/>
      <w:marBottom w:val="0"/>
      <w:divBdr>
        <w:top w:val="none" w:sz="0" w:space="0" w:color="auto"/>
        <w:left w:val="none" w:sz="0" w:space="0" w:color="auto"/>
        <w:bottom w:val="none" w:sz="0" w:space="0" w:color="auto"/>
        <w:right w:val="none" w:sz="0" w:space="0" w:color="auto"/>
      </w:divBdr>
      <w:divsChild>
        <w:div w:id="1786997371">
          <w:marLeft w:val="0"/>
          <w:marRight w:val="0"/>
          <w:marTop w:val="0"/>
          <w:marBottom w:val="0"/>
          <w:divBdr>
            <w:top w:val="none" w:sz="0" w:space="0" w:color="auto"/>
            <w:left w:val="none" w:sz="0" w:space="0" w:color="auto"/>
            <w:bottom w:val="none" w:sz="0" w:space="0" w:color="auto"/>
            <w:right w:val="none" w:sz="0" w:space="0" w:color="auto"/>
          </w:divBdr>
          <w:divsChild>
            <w:div w:id="205610590">
              <w:marLeft w:val="0"/>
              <w:marRight w:val="0"/>
              <w:marTop w:val="0"/>
              <w:marBottom w:val="0"/>
              <w:divBdr>
                <w:top w:val="none" w:sz="0" w:space="0" w:color="auto"/>
                <w:left w:val="none" w:sz="0" w:space="0" w:color="auto"/>
                <w:bottom w:val="none" w:sz="0" w:space="0" w:color="auto"/>
                <w:right w:val="none" w:sz="0" w:space="0" w:color="auto"/>
              </w:divBdr>
              <w:divsChild>
                <w:div w:id="842083508">
                  <w:marLeft w:val="0"/>
                  <w:marRight w:val="0"/>
                  <w:marTop w:val="0"/>
                  <w:marBottom w:val="0"/>
                  <w:divBdr>
                    <w:top w:val="none" w:sz="0" w:space="0" w:color="auto"/>
                    <w:left w:val="none" w:sz="0" w:space="0" w:color="auto"/>
                    <w:bottom w:val="none" w:sz="0" w:space="0" w:color="auto"/>
                    <w:right w:val="none" w:sz="0" w:space="0" w:color="auto"/>
                  </w:divBdr>
                  <w:divsChild>
                    <w:div w:id="581452159">
                      <w:marLeft w:val="0"/>
                      <w:marRight w:val="0"/>
                      <w:marTop w:val="0"/>
                      <w:marBottom w:val="0"/>
                      <w:divBdr>
                        <w:top w:val="none" w:sz="0" w:space="0" w:color="auto"/>
                        <w:left w:val="none" w:sz="0" w:space="0" w:color="auto"/>
                        <w:bottom w:val="none" w:sz="0" w:space="0" w:color="auto"/>
                        <w:right w:val="none" w:sz="0" w:space="0" w:color="auto"/>
                      </w:divBdr>
                      <w:divsChild>
                        <w:div w:id="1778136919">
                          <w:marLeft w:val="0"/>
                          <w:marRight w:val="0"/>
                          <w:marTop w:val="0"/>
                          <w:marBottom w:val="0"/>
                          <w:divBdr>
                            <w:top w:val="none" w:sz="0" w:space="0" w:color="auto"/>
                            <w:left w:val="none" w:sz="0" w:space="0" w:color="auto"/>
                            <w:bottom w:val="none" w:sz="0" w:space="0" w:color="auto"/>
                            <w:right w:val="none" w:sz="0" w:space="0" w:color="auto"/>
                          </w:divBdr>
                          <w:divsChild>
                            <w:div w:id="1727028864">
                              <w:marLeft w:val="0"/>
                              <w:marRight w:val="0"/>
                              <w:marTop w:val="0"/>
                              <w:marBottom w:val="0"/>
                              <w:divBdr>
                                <w:top w:val="none" w:sz="0" w:space="0" w:color="auto"/>
                                <w:left w:val="none" w:sz="0" w:space="0" w:color="auto"/>
                                <w:bottom w:val="none" w:sz="0" w:space="0" w:color="auto"/>
                                <w:right w:val="none" w:sz="0" w:space="0" w:color="auto"/>
                              </w:divBdr>
                              <w:divsChild>
                                <w:div w:id="1848792379">
                                  <w:marLeft w:val="0"/>
                                  <w:marRight w:val="0"/>
                                  <w:marTop w:val="0"/>
                                  <w:marBottom w:val="0"/>
                                  <w:divBdr>
                                    <w:top w:val="none" w:sz="0" w:space="0" w:color="auto"/>
                                    <w:left w:val="none" w:sz="0" w:space="0" w:color="auto"/>
                                    <w:bottom w:val="none" w:sz="0" w:space="0" w:color="auto"/>
                                    <w:right w:val="none" w:sz="0" w:space="0" w:color="auto"/>
                                  </w:divBdr>
                                  <w:divsChild>
                                    <w:div w:id="1614482245">
                                      <w:marLeft w:val="0"/>
                                      <w:marRight w:val="0"/>
                                      <w:marTop w:val="0"/>
                                      <w:marBottom w:val="0"/>
                                      <w:divBdr>
                                        <w:top w:val="none" w:sz="0" w:space="0" w:color="auto"/>
                                        <w:left w:val="none" w:sz="0" w:space="0" w:color="auto"/>
                                        <w:bottom w:val="none" w:sz="0" w:space="0" w:color="auto"/>
                                        <w:right w:val="none" w:sz="0" w:space="0" w:color="auto"/>
                                      </w:divBdr>
                                      <w:divsChild>
                                        <w:div w:id="1506091873">
                                          <w:marLeft w:val="0"/>
                                          <w:marRight w:val="0"/>
                                          <w:marTop w:val="0"/>
                                          <w:marBottom w:val="0"/>
                                          <w:divBdr>
                                            <w:top w:val="none" w:sz="0" w:space="0" w:color="auto"/>
                                            <w:left w:val="none" w:sz="0" w:space="0" w:color="auto"/>
                                            <w:bottom w:val="none" w:sz="0" w:space="0" w:color="auto"/>
                                            <w:right w:val="none" w:sz="0" w:space="0" w:color="auto"/>
                                          </w:divBdr>
                                          <w:divsChild>
                                            <w:div w:id="19586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106033">
      <w:bodyDiv w:val="1"/>
      <w:marLeft w:val="0"/>
      <w:marRight w:val="0"/>
      <w:marTop w:val="0"/>
      <w:marBottom w:val="0"/>
      <w:divBdr>
        <w:top w:val="none" w:sz="0" w:space="0" w:color="auto"/>
        <w:left w:val="none" w:sz="0" w:space="0" w:color="auto"/>
        <w:bottom w:val="none" w:sz="0" w:space="0" w:color="auto"/>
        <w:right w:val="none" w:sz="0" w:space="0" w:color="auto"/>
      </w:divBdr>
      <w:divsChild>
        <w:div w:id="70927979">
          <w:marLeft w:val="0"/>
          <w:marRight w:val="0"/>
          <w:marTop w:val="0"/>
          <w:marBottom w:val="0"/>
          <w:divBdr>
            <w:top w:val="none" w:sz="0" w:space="0" w:color="auto"/>
            <w:left w:val="none" w:sz="0" w:space="0" w:color="auto"/>
            <w:bottom w:val="none" w:sz="0" w:space="0" w:color="auto"/>
            <w:right w:val="none" w:sz="0" w:space="0" w:color="auto"/>
          </w:divBdr>
        </w:div>
        <w:div w:id="207180867">
          <w:marLeft w:val="0"/>
          <w:marRight w:val="0"/>
          <w:marTop w:val="0"/>
          <w:marBottom w:val="0"/>
          <w:divBdr>
            <w:top w:val="none" w:sz="0" w:space="0" w:color="auto"/>
            <w:left w:val="none" w:sz="0" w:space="0" w:color="auto"/>
            <w:bottom w:val="none" w:sz="0" w:space="0" w:color="auto"/>
            <w:right w:val="none" w:sz="0" w:space="0" w:color="auto"/>
          </w:divBdr>
        </w:div>
        <w:div w:id="228393633">
          <w:marLeft w:val="0"/>
          <w:marRight w:val="0"/>
          <w:marTop w:val="0"/>
          <w:marBottom w:val="0"/>
          <w:divBdr>
            <w:top w:val="none" w:sz="0" w:space="0" w:color="auto"/>
            <w:left w:val="none" w:sz="0" w:space="0" w:color="auto"/>
            <w:bottom w:val="none" w:sz="0" w:space="0" w:color="auto"/>
            <w:right w:val="none" w:sz="0" w:space="0" w:color="auto"/>
          </w:divBdr>
        </w:div>
        <w:div w:id="266892952">
          <w:marLeft w:val="0"/>
          <w:marRight w:val="0"/>
          <w:marTop w:val="0"/>
          <w:marBottom w:val="0"/>
          <w:divBdr>
            <w:top w:val="none" w:sz="0" w:space="0" w:color="auto"/>
            <w:left w:val="none" w:sz="0" w:space="0" w:color="auto"/>
            <w:bottom w:val="none" w:sz="0" w:space="0" w:color="auto"/>
            <w:right w:val="none" w:sz="0" w:space="0" w:color="auto"/>
          </w:divBdr>
        </w:div>
        <w:div w:id="318853361">
          <w:marLeft w:val="0"/>
          <w:marRight w:val="0"/>
          <w:marTop w:val="0"/>
          <w:marBottom w:val="0"/>
          <w:divBdr>
            <w:top w:val="none" w:sz="0" w:space="0" w:color="auto"/>
            <w:left w:val="none" w:sz="0" w:space="0" w:color="auto"/>
            <w:bottom w:val="none" w:sz="0" w:space="0" w:color="auto"/>
            <w:right w:val="none" w:sz="0" w:space="0" w:color="auto"/>
          </w:divBdr>
        </w:div>
        <w:div w:id="356081868">
          <w:marLeft w:val="0"/>
          <w:marRight w:val="0"/>
          <w:marTop w:val="0"/>
          <w:marBottom w:val="0"/>
          <w:divBdr>
            <w:top w:val="none" w:sz="0" w:space="0" w:color="auto"/>
            <w:left w:val="none" w:sz="0" w:space="0" w:color="auto"/>
            <w:bottom w:val="none" w:sz="0" w:space="0" w:color="auto"/>
            <w:right w:val="none" w:sz="0" w:space="0" w:color="auto"/>
          </w:divBdr>
        </w:div>
        <w:div w:id="370112841">
          <w:marLeft w:val="0"/>
          <w:marRight w:val="0"/>
          <w:marTop w:val="0"/>
          <w:marBottom w:val="0"/>
          <w:divBdr>
            <w:top w:val="none" w:sz="0" w:space="0" w:color="auto"/>
            <w:left w:val="none" w:sz="0" w:space="0" w:color="auto"/>
            <w:bottom w:val="none" w:sz="0" w:space="0" w:color="auto"/>
            <w:right w:val="none" w:sz="0" w:space="0" w:color="auto"/>
          </w:divBdr>
        </w:div>
        <w:div w:id="534928138">
          <w:marLeft w:val="0"/>
          <w:marRight w:val="0"/>
          <w:marTop w:val="0"/>
          <w:marBottom w:val="0"/>
          <w:divBdr>
            <w:top w:val="none" w:sz="0" w:space="0" w:color="auto"/>
            <w:left w:val="none" w:sz="0" w:space="0" w:color="auto"/>
            <w:bottom w:val="none" w:sz="0" w:space="0" w:color="auto"/>
            <w:right w:val="none" w:sz="0" w:space="0" w:color="auto"/>
          </w:divBdr>
        </w:div>
        <w:div w:id="565070616">
          <w:marLeft w:val="0"/>
          <w:marRight w:val="0"/>
          <w:marTop w:val="0"/>
          <w:marBottom w:val="0"/>
          <w:divBdr>
            <w:top w:val="none" w:sz="0" w:space="0" w:color="auto"/>
            <w:left w:val="none" w:sz="0" w:space="0" w:color="auto"/>
            <w:bottom w:val="none" w:sz="0" w:space="0" w:color="auto"/>
            <w:right w:val="none" w:sz="0" w:space="0" w:color="auto"/>
          </w:divBdr>
        </w:div>
        <w:div w:id="565923382">
          <w:marLeft w:val="0"/>
          <w:marRight w:val="0"/>
          <w:marTop w:val="0"/>
          <w:marBottom w:val="0"/>
          <w:divBdr>
            <w:top w:val="none" w:sz="0" w:space="0" w:color="auto"/>
            <w:left w:val="none" w:sz="0" w:space="0" w:color="auto"/>
            <w:bottom w:val="none" w:sz="0" w:space="0" w:color="auto"/>
            <w:right w:val="none" w:sz="0" w:space="0" w:color="auto"/>
          </w:divBdr>
        </w:div>
        <w:div w:id="588851834">
          <w:marLeft w:val="0"/>
          <w:marRight w:val="0"/>
          <w:marTop w:val="0"/>
          <w:marBottom w:val="0"/>
          <w:divBdr>
            <w:top w:val="none" w:sz="0" w:space="0" w:color="auto"/>
            <w:left w:val="none" w:sz="0" w:space="0" w:color="auto"/>
            <w:bottom w:val="none" w:sz="0" w:space="0" w:color="auto"/>
            <w:right w:val="none" w:sz="0" w:space="0" w:color="auto"/>
          </w:divBdr>
        </w:div>
        <w:div w:id="647907014">
          <w:marLeft w:val="0"/>
          <w:marRight w:val="0"/>
          <w:marTop w:val="0"/>
          <w:marBottom w:val="0"/>
          <w:divBdr>
            <w:top w:val="none" w:sz="0" w:space="0" w:color="auto"/>
            <w:left w:val="none" w:sz="0" w:space="0" w:color="auto"/>
            <w:bottom w:val="none" w:sz="0" w:space="0" w:color="auto"/>
            <w:right w:val="none" w:sz="0" w:space="0" w:color="auto"/>
          </w:divBdr>
        </w:div>
        <w:div w:id="716128032">
          <w:marLeft w:val="0"/>
          <w:marRight w:val="0"/>
          <w:marTop w:val="0"/>
          <w:marBottom w:val="0"/>
          <w:divBdr>
            <w:top w:val="none" w:sz="0" w:space="0" w:color="auto"/>
            <w:left w:val="none" w:sz="0" w:space="0" w:color="auto"/>
            <w:bottom w:val="none" w:sz="0" w:space="0" w:color="auto"/>
            <w:right w:val="none" w:sz="0" w:space="0" w:color="auto"/>
          </w:divBdr>
        </w:div>
        <w:div w:id="730884538">
          <w:marLeft w:val="0"/>
          <w:marRight w:val="0"/>
          <w:marTop w:val="0"/>
          <w:marBottom w:val="0"/>
          <w:divBdr>
            <w:top w:val="none" w:sz="0" w:space="0" w:color="auto"/>
            <w:left w:val="none" w:sz="0" w:space="0" w:color="auto"/>
            <w:bottom w:val="none" w:sz="0" w:space="0" w:color="auto"/>
            <w:right w:val="none" w:sz="0" w:space="0" w:color="auto"/>
          </w:divBdr>
        </w:div>
        <w:div w:id="784931036">
          <w:marLeft w:val="0"/>
          <w:marRight w:val="0"/>
          <w:marTop w:val="0"/>
          <w:marBottom w:val="0"/>
          <w:divBdr>
            <w:top w:val="none" w:sz="0" w:space="0" w:color="auto"/>
            <w:left w:val="none" w:sz="0" w:space="0" w:color="auto"/>
            <w:bottom w:val="none" w:sz="0" w:space="0" w:color="auto"/>
            <w:right w:val="none" w:sz="0" w:space="0" w:color="auto"/>
          </w:divBdr>
        </w:div>
        <w:div w:id="801463265">
          <w:marLeft w:val="0"/>
          <w:marRight w:val="0"/>
          <w:marTop w:val="0"/>
          <w:marBottom w:val="0"/>
          <w:divBdr>
            <w:top w:val="none" w:sz="0" w:space="0" w:color="auto"/>
            <w:left w:val="none" w:sz="0" w:space="0" w:color="auto"/>
            <w:bottom w:val="none" w:sz="0" w:space="0" w:color="auto"/>
            <w:right w:val="none" w:sz="0" w:space="0" w:color="auto"/>
          </w:divBdr>
        </w:div>
        <w:div w:id="827403231">
          <w:marLeft w:val="0"/>
          <w:marRight w:val="0"/>
          <w:marTop w:val="0"/>
          <w:marBottom w:val="0"/>
          <w:divBdr>
            <w:top w:val="none" w:sz="0" w:space="0" w:color="auto"/>
            <w:left w:val="none" w:sz="0" w:space="0" w:color="auto"/>
            <w:bottom w:val="none" w:sz="0" w:space="0" w:color="auto"/>
            <w:right w:val="none" w:sz="0" w:space="0" w:color="auto"/>
          </w:divBdr>
        </w:div>
        <w:div w:id="836699844">
          <w:marLeft w:val="0"/>
          <w:marRight w:val="0"/>
          <w:marTop w:val="0"/>
          <w:marBottom w:val="0"/>
          <w:divBdr>
            <w:top w:val="none" w:sz="0" w:space="0" w:color="auto"/>
            <w:left w:val="none" w:sz="0" w:space="0" w:color="auto"/>
            <w:bottom w:val="none" w:sz="0" w:space="0" w:color="auto"/>
            <w:right w:val="none" w:sz="0" w:space="0" w:color="auto"/>
          </w:divBdr>
        </w:div>
        <w:div w:id="923299100">
          <w:marLeft w:val="0"/>
          <w:marRight w:val="0"/>
          <w:marTop w:val="0"/>
          <w:marBottom w:val="0"/>
          <w:divBdr>
            <w:top w:val="none" w:sz="0" w:space="0" w:color="auto"/>
            <w:left w:val="none" w:sz="0" w:space="0" w:color="auto"/>
            <w:bottom w:val="none" w:sz="0" w:space="0" w:color="auto"/>
            <w:right w:val="none" w:sz="0" w:space="0" w:color="auto"/>
          </w:divBdr>
        </w:div>
        <w:div w:id="938677194">
          <w:marLeft w:val="0"/>
          <w:marRight w:val="0"/>
          <w:marTop w:val="0"/>
          <w:marBottom w:val="0"/>
          <w:divBdr>
            <w:top w:val="none" w:sz="0" w:space="0" w:color="auto"/>
            <w:left w:val="none" w:sz="0" w:space="0" w:color="auto"/>
            <w:bottom w:val="none" w:sz="0" w:space="0" w:color="auto"/>
            <w:right w:val="none" w:sz="0" w:space="0" w:color="auto"/>
          </w:divBdr>
        </w:div>
        <w:div w:id="967979012">
          <w:marLeft w:val="0"/>
          <w:marRight w:val="0"/>
          <w:marTop w:val="0"/>
          <w:marBottom w:val="0"/>
          <w:divBdr>
            <w:top w:val="none" w:sz="0" w:space="0" w:color="auto"/>
            <w:left w:val="none" w:sz="0" w:space="0" w:color="auto"/>
            <w:bottom w:val="none" w:sz="0" w:space="0" w:color="auto"/>
            <w:right w:val="none" w:sz="0" w:space="0" w:color="auto"/>
          </w:divBdr>
        </w:div>
        <w:div w:id="997463775">
          <w:marLeft w:val="0"/>
          <w:marRight w:val="0"/>
          <w:marTop w:val="0"/>
          <w:marBottom w:val="0"/>
          <w:divBdr>
            <w:top w:val="none" w:sz="0" w:space="0" w:color="auto"/>
            <w:left w:val="none" w:sz="0" w:space="0" w:color="auto"/>
            <w:bottom w:val="none" w:sz="0" w:space="0" w:color="auto"/>
            <w:right w:val="none" w:sz="0" w:space="0" w:color="auto"/>
          </w:divBdr>
        </w:div>
        <w:div w:id="997730028">
          <w:marLeft w:val="0"/>
          <w:marRight w:val="0"/>
          <w:marTop w:val="0"/>
          <w:marBottom w:val="0"/>
          <w:divBdr>
            <w:top w:val="none" w:sz="0" w:space="0" w:color="auto"/>
            <w:left w:val="none" w:sz="0" w:space="0" w:color="auto"/>
            <w:bottom w:val="none" w:sz="0" w:space="0" w:color="auto"/>
            <w:right w:val="none" w:sz="0" w:space="0" w:color="auto"/>
          </w:divBdr>
        </w:div>
        <w:div w:id="1162697499">
          <w:marLeft w:val="0"/>
          <w:marRight w:val="0"/>
          <w:marTop w:val="0"/>
          <w:marBottom w:val="0"/>
          <w:divBdr>
            <w:top w:val="none" w:sz="0" w:space="0" w:color="auto"/>
            <w:left w:val="none" w:sz="0" w:space="0" w:color="auto"/>
            <w:bottom w:val="none" w:sz="0" w:space="0" w:color="auto"/>
            <w:right w:val="none" w:sz="0" w:space="0" w:color="auto"/>
          </w:divBdr>
        </w:div>
        <w:div w:id="1179196005">
          <w:marLeft w:val="0"/>
          <w:marRight w:val="0"/>
          <w:marTop w:val="0"/>
          <w:marBottom w:val="0"/>
          <w:divBdr>
            <w:top w:val="none" w:sz="0" w:space="0" w:color="auto"/>
            <w:left w:val="none" w:sz="0" w:space="0" w:color="auto"/>
            <w:bottom w:val="none" w:sz="0" w:space="0" w:color="auto"/>
            <w:right w:val="none" w:sz="0" w:space="0" w:color="auto"/>
          </w:divBdr>
        </w:div>
        <w:div w:id="1223714658">
          <w:marLeft w:val="0"/>
          <w:marRight w:val="0"/>
          <w:marTop w:val="0"/>
          <w:marBottom w:val="0"/>
          <w:divBdr>
            <w:top w:val="none" w:sz="0" w:space="0" w:color="auto"/>
            <w:left w:val="none" w:sz="0" w:space="0" w:color="auto"/>
            <w:bottom w:val="none" w:sz="0" w:space="0" w:color="auto"/>
            <w:right w:val="none" w:sz="0" w:space="0" w:color="auto"/>
          </w:divBdr>
        </w:div>
        <w:div w:id="1487938904">
          <w:marLeft w:val="0"/>
          <w:marRight w:val="0"/>
          <w:marTop w:val="0"/>
          <w:marBottom w:val="0"/>
          <w:divBdr>
            <w:top w:val="none" w:sz="0" w:space="0" w:color="auto"/>
            <w:left w:val="none" w:sz="0" w:space="0" w:color="auto"/>
            <w:bottom w:val="none" w:sz="0" w:space="0" w:color="auto"/>
            <w:right w:val="none" w:sz="0" w:space="0" w:color="auto"/>
          </w:divBdr>
        </w:div>
        <w:div w:id="1556814513">
          <w:marLeft w:val="0"/>
          <w:marRight w:val="0"/>
          <w:marTop w:val="0"/>
          <w:marBottom w:val="0"/>
          <w:divBdr>
            <w:top w:val="none" w:sz="0" w:space="0" w:color="auto"/>
            <w:left w:val="none" w:sz="0" w:space="0" w:color="auto"/>
            <w:bottom w:val="none" w:sz="0" w:space="0" w:color="auto"/>
            <w:right w:val="none" w:sz="0" w:space="0" w:color="auto"/>
          </w:divBdr>
        </w:div>
        <w:div w:id="1695885136">
          <w:marLeft w:val="0"/>
          <w:marRight w:val="0"/>
          <w:marTop w:val="0"/>
          <w:marBottom w:val="0"/>
          <w:divBdr>
            <w:top w:val="none" w:sz="0" w:space="0" w:color="auto"/>
            <w:left w:val="none" w:sz="0" w:space="0" w:color="auto"/>
            <w:bottom w:val="none" w:sz="0" w:space="0" w:color="auto"/>
            <w:right w:val="none" w:sz="0" w:space="0" w:color="auto"/>
          </w:divBdr>
        </w:div>
        <w:div w:id="1776246854">
          <w:marLeft w:val="0"/>
          <w:marRight w:val="0"/>
          <w:marTop w:val="0"/>
          <w:marBottom w:val="0"/>
          <w:divBdr>
            <w:top w:val="none" w:sz="0" w:space="0" w:color="auto"/>
            <w:left w:val="none" w:sz="0" w:space="0" w:color="auto"/>
            <w:bottom w:val="none" w:sz="0" w:space="0" w:color="auto"/>
            <w:right w:val="none" w:sz="0" w:space="0" w:color="auto"/>
          </w:divBdr>
        </w:div>
        <w:div w:id="1817798910">
          <w:marLeft w:val="0"/>
          <w:marRight w:val="0"/>
          <w:marTop w:val="0"/>
          <w:marBottom w:val="0"/>
          <w:divBdr>
            <w:top w:val="none" w:sz="0" w:space="0" w:color="auto"/>
            <w:left w:val="none" w:sz="0" w:space="0" w:color="auto"/>
            <w:bottom w:val="none" w:sz="0" w:space="0" w:color="auto"/>
            <w:right w:val="none" w:sz="0" w:space="0" w:color="auto"/>
          </w:divBdr>
        </w:div>
        <w:div w:id="1951667236">
          <w:marLeft w:val="0"/>
          <w:marRight w:val="0"/>
          <w:marTop w:val="0"/>
          <w:marBottom w:val="0"/>
          <w:divBdr>
            <w:top w:val="none" w:sz="0" w:space="0" w:color="auto"/>
            <w:left w:val="none" w:sz="0" w:space="0" w:color="auto"/>
            <w:bottom w:val="none" w:sz="0" w:space="0" w:color="auto"/>
            <w:right w:val="none" w:sz="0" w:space="0" w:color="auto"/>
          </w:divBdr>
        </w:div>
        <w:div w:id="1988708957">
          <w:marLeft w:val="0"/>
          <w:marRight w:val="0"/>
          <w:marTop w:val="0"/>
          <w:marBottom w:val="0"/>
          <w:divBdr>
            <w:top w:val="none" w:sz="0" w:space="0" w:color="auto"/>
            <w:left w:val="none" w:sz="0" w:space="0" w:color="auto"/>
            <w:bottom w:val="none" w:sz="0" w:space="0" w:color="auto"/>
            <w:right w:val="none" w:sz="0" w:space="0" w:color="auto"/>
          </w:divBdr>
        </w:div>
        <w:div w:id="2098087552">
          <w:marLeft w:val="0"/>
          <w:marRight w:val="0"/>
          <w:marTop w:val="0"/>
          <w:marBottom w:val="0"/>
          <w:divBdr>
            <w:top w:val="none" w:sz="0" w:space="0" w:color="auto"/>
            <w:left w:val="none" w:sz="0" w:space="0" w:color="auto"/>
            <w:bottom w:val="none" w:sz="0" w:space="0" w:color="auto"/>
            <w:right w:val="none" w:sz="0" w:space="0" w:color="auto"/>
          </w:divBdr>
        </w:div>
        <w:div w:id="2103912489">
          <w:marLeft w:val="0"/>
          <w:marRight w:val="0"/>
          <w:marTop w:val="0"/>
          <w:marBottom w:val="0"/>
          <w:divBdr>
            <w:top w:val="none" w:sz="0" w:space="0" w:color="auto"/>
            <w:left w:val="none" w:sz="0" w:space="0" w:color="auto"/>
            <w:bottom w:val="none" w:sz="0" w:space="0" w:color="auto"/>
            <w:right w:val="none" w:sz="0" w:space="0" w:color="auto"/>
          </w:divBdr>
        </w:div>
      </w:divsChild>
    </w:div>
    <w:div w:id="657222698">
      <w:bodyDiv w:val="1"/>
      <w:marLeft w:val="0"/>
      <w:marRight w:val="0"/>
      <w:marTop w:val="0"/>
      <w:marBottom w:val="0"/>
      <w:divBdr>
        <w:top w:val="none" w:sz="0" w:space="0" w:color="auto"/>
        <w:left w:val="none" w:sz="0" w:space="0" w:color="auto"/>
        <w:bottom w:val="none" w:sz="0" w:space="0" w:color="auto"/>
        <w:right w:val="none" w:sz="0" w:space="0" w:color="auto"/>
      </w:divBdr>
    </w:div>
    <w:div w:id="819270013">
      <w:bodyDiv w:val="1"/>
      <w:marLeft w:val="0"/>
      <w:marRight w:val="0"/>
      <w:marTop w:val="0"/>
      <w:marBottom w:val="0"/>
      <w:divBdr>
        <w:top w:val="none" w:sz="0" w:space="0" w:color="auto"/>
        <w:left w:val="none" w:sz="0" w:space="0" w:color="auto"/>
        <w:bottom w:val="none" w:sz="0" w:space="0" w:color="auto"/>
        <w:right w:val="none" w:sz="0" w:space="0" w:color="auto"/>
      </w:divBdr>
      <w:divsChild>
        <w:div w:id="1729303351">
          <w:marLeft w:val="0"/>
          <w:marRight w:val="0"/>
          <w:marTop w:val="0"/>
          <w:marBottom w:val="0"/>
          <w:divBdr>
            <w:top w:val="none" w:sz="0" w:space="0" w:color="auto"/>
            <w:left w:val="none" w:sz="0" w:space="0" w:color="auto"/>
            <w:bottom w:val="none" w:sz="0" w:space="0" w:color="auto"/>
            <w:right w:val="none" w:sz="0" w:space="0" w:color="auto"/>
          </w:divBdr>
        </w:div>
      </w:divsChild>
    </w:div>
    <w:div w:id="860356778">
      <w:bodyDiv w:val="1"/>
      <w:marLeft w:val="0"/>
      <w:marRight w:val="0"/>
      <w:marTop w:val="0"/>
      <w:marBottom w:val="0"/>
      <w:divBdr>
        <w:top w:val="none" w:sz="0" w:space="0" w:color="auto"/>
        <w:left w:val="none" w:sz="0" w:space="0" w:color="auto"/>
        <w:bottom w:val="none" w:sz="0" w:space="0" w:color="auto"/>
        <w:right w:val="none" w:sz="0" w:space="0" w:color="auto"/>
      </w:divBdr>
    </w:div>
    <w:div w:id="953247604">
      <w:bodyDiv w:val="1"/>
      <w:marLeft w:val="0"/>
      <w:marRight w:val="0"/>
      <w:marTop w:val="0"/>
      <w:marBottom w:val="0"/>
      <w:divBdr>
        <w:top w:val="none" w:sz="0" w:space="0" w:color="auto"/>
        <w:left w:val="none" w:sz="0" w:space="0" w:color="auto"/>
        <w:bottom w:val="none" w:sz="0" w:space="0" w:color="auto"/>
        <w:right w:val="none" w:sz="0" w:space="0" w:color="auto"/>
      </w:divBdr>
    </w:div>
    <w:div w:id="1100371884">
      <w:bodyDiv w:val="1"/>
      <w:marLeft w:val="0"/>
      <w:marRight w:val="0"/>
      <w:marTop w:val="0"/>
      <w:marBottom w:val="0"/>
      <w:divBdr>
        <w:top w:val="none" w:sz="0" w:space="0" w:color="auto"/>
        <w:left w:val="none" w:sz="0" w:space="0" w:color="auto"/>
        <w:bottom w:val="none" w:sz="0" w:space="0" w:color="auto"/>
        <w:right w:val="none" w:sz="0" w:space="0" w:color="auto"/>
      </w:divBdr>
    </w:div>
    <w:div w:id="1176726991">
      <w:bodyDiv w:val="1"/>
      <w:marLeft w:val="0"/>
      <w:marRight w:val="0"/>
      <w:marTop w:val="0"/>
      <w:marBottom w:val="0"/>
      <w:divBdr>
        <w:top w:val="none" w:sz="0" w:space="0" w:color="auto"/>
        <w:left w:val="none" w:sz="0" w:space="0" w:color="auto"/>
        <w:bottom w:val="none" w:sz="0" w:space="0" w:color="auto"/>
        <w:right w:val="none" w:sz="0" w:space="0" w:color="auto"/>
      </w:divBdr>
      <w:divsChild>
        <w:div w:id="1059859781">
          <w:marLeft w:val="0"/>
          <w:marRight w:val="0"/>
          <w:marTop w:val="0"/>
          <w:marBottom w:val="0"/>
          <w:divBdr>
            <w:top w:val="none" w:sz="0" w:space="0" w:color="auto"/>
            <w:left w:val="none" w:sz="0" w:space="0" w:color="auto"/>
            <w:bottom w:val="none" w:sz="0" w:space="0" w:color="auto"/>
            <w:right w:val="none" w:sz="0" w:space="0" w:color="auto"/>
          </w:divBdr>
          <w:divsChild>
            <w:div w:id="1680236963">
              <w:marLeft w:val="0"/>
              <w:marRight w:val="0"/>
              <w:marTop w:val="0"/>
              <w:marBottom w:val="0"/>
              <w:divBdr>
                <w:top w:val="none" w:sz="0" w:space="0" w:color="auto"/>
                <w:left w:val="none" w:sz="0" w:space="0" w:color="auto"/>
                <w:bottom w:val="none" w:sz="0" w:space="0" w:color="auto"/>
                <w:right w:val="none" w:sz="0" w:space="0" w:color="auto"/>
              </w:divBdr>
              <w:divsChild>
                <w:div w:id="2114663237">
                  <w:marLeft w:val="0"/>
                  <w:marRight w:val="0"/>
                  <w:marTop w:val="0"/>
                  <w:marBottom w:val="0"/>
                  <w:divBdr>
                    <w:top w:val="none" w:sz="0" w:space="0" w:color="auto"/>
                    <w:left w:val="none" w:sz="0" w:space="0" w:color="auto"/>
                    <w:bottom w:val="none" w:sz="0" w:space="0" w:color="auto"/>
                    <w:right w:val="none" w:sz="0" w:space="0" w:color="auto"/>
                  </w:divBdr>
                  <w:divsChild>
                    <w:div w:id="190652521">
                      <w:marLeft w:val="0"/>
                      <w:marRight w:val="0"/>
                      <w:marTop w:val="0"/>
                      <w:marBottom w:val="0"/>
                      <w:divBdr>
                        <w:top w:val="none" w:sz="0" w:space="0" w:color="auto"/>
                        <w:left w:val="none" w:sz="0" w:space="0" w:color="auto"/>
                        <w:bottom w:val="none" w:sz="0" w:space="0" w:color="auto"/>
                        <w:right w:val="none" w:sz="0" w:space="0" w:color="auto"/>
                      </w:divBdr>
                      <w:divsChild>
                        <w:div w:id="287055944">
                          <w:marLeft w:val="0"/>
                          <w:marRight w:val="0"/>
                          <w:marTop w:val="0"/>
                          <w:marBottom w:val="0"/>
                          <w:divBdr>
                            <w:top w:val="none" w:sz="0" w:space="0" w:color="auto"/>
                            <w:left w:val="none" w:sz="0" w:space="0" w:color="auto"/>
                            <w:bottom w:val="none" w:sz="0" w:space="0" w:color="auto"/>
                            <w:right w:val="none" w:sz="0" w:space="0" w:color="auto"/>
                          </w:divBdr>
                          <w:divsChild>
                            <w:div w:id="1881548303">
                              <w:marLeft w:val="0"/>
                              <w:marRight w:val="0"/>
                              <w:marTop w:val="0"/>
                              <w:marBottom w:val="0"/>
                              <w:divBdr>
                                <w:top w:val="none" w:sz="0" w:space="0" w:color="auto"/>
                                <w:left w:val="none" w:sz="0" w:space="0" w:color="auto"/>
                                <w:bottom w:val="none" w:sz="0" w:space="0" w:color="auto"/>
                                <w:right w:val="none" w:sz="0" w:space="0" w:color="auto"/>
                              </w:divBdr>
                              <w:divsChild>
                                <w:div w:id="751120567">
                                  <w:marLeft w:val="0"/>
                                  <w:marRight w:val="0"/>
                                  <w:marTop w:val="0"/>
                                  <w:marBottom w:val="0"/>
                                  <w:divBdr>
                                    <w:top w:val="none" w:sz="0" w:space="0" w:color="auto"/>
                                    <w:left w:val="none" w:sz="0" w:space="0" w:color="auto"/>
                                    <w:bottom w:val="none" w:sz="0" w:space="0" w:color="auto"/>
                                    <w:right w:val="none" w:sz="0" w:space="0" w:color="auto"/>
                                  </w:divBdr>
                                  <w:divsChild>
                                    <w:div w:id="1505701719">
                                      <w:marLeft w:val="0"/>
                                      <w:marRight w:val="0"/>
                                      <w:marTop w:val="0"/>
                                      <w:marBottom w:val="0"/>
                                      <w:divBdr>
                                        <w:top w:val="none" w:sz="0" w:space="0" w:color="auto"/>
                                        <w:left w:val="none" w:sz="0" w:space="0" w:color="auto"/>
                                        <w:bottom w:val="none" w:sz="0" w:space="0" w:color="auto"/>
                                        <w:right w:val="none" w:sz="0" w:space="0" w:color="auto"/>
                                      </w:divBdr>
                                      <w:divsChild>
                                        <w:div w:id="1882083723">
                                          <w:marLeft w:val="0"/>
                                          <w:marRight w:val="0"/>
                                          <w:marTop w:val="0"/>
                                          <w:marBottom w:val="0"/>
                                          <w:divBdr>
                                            <w:top w:val="none" w:sz="0" w:space="0" w:color="auto"/>
                                            <w:left w:val="none" w:sz="0" w:space="0" w:color="auto"/>
                                            <w:bottom w:val="none" w:sz="0" w:space="0" w:color="auto"/>
                                            <w:right w:val="none" w:sz="0" w:space="0" w:color="auto"/>
                                          </w:divBdr>
                                          <w:divsChild>
                                            <w:div w:id="606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095384">
      <w:bodyDiv w:val="1"/>
      <w:marLeft w:val="0"/>
      <w:marRight w:val="0"/>
      <w:marTop w:val="0"/>
      <w:marBottom w:val="0"/>
      <w:divBdr>
        <w:top w:val="none" w:sz="0" w:space="0" w:color="auto"/>
        <w:left w:val="none" w:sz="0" w:space="0" w:color="auto"/>
        <w:bottom w:val="none" w:sz="0" w:space="0" w:color="auto"/>
        <w:right w:val="none" w:sz="0" w:space="0" w:color="auto"/>
      </w:divBdr>
    </w:div>
    <w:div w:id="1266764217">
      <w:bodyDiv w:val="1"/>
      <w:marLeft w:val="0"/>
      <w:marRight w:val="0"/>
      <w:marTop w:val="0"/>
      <w:marBottom w:val="0"/>
      <w:divBdr>
        <w:top w:val="none" w:sz="0" w:space="0" w:color="auto"/>
        <w:left w:val="none" w:sz="0" w:space="0" w:color="auto"/>
        <w:bottom w:val="none" w:sz="0" w:space="0" w:color="auto"/>
        <w:right w:val="none" w:sz="0" w:space="0" w:color="auto"/>
      </w:divBdr>
    </w:div>
    <w:div w:id="1274895149">
      <w:bodyDiv w:val="1"/>
      <w:marLeft w:val="0"/>
      <w:marRight w:val="0"/>
      <w:marTop w:val="0"/>
      <w:marBottom w:val="0"/>
      <w:divBdr>
        <w:top w:val="none" w:sz="0" w:space="0" w:color="auto"/>
        <w:left w:val="none" w:sz="0" w:space="0" w:color="auto"/>
        <w:bottom w:val="none" w:sz="0" w:space="0" w:color="auto"/>
        <w:right w:val="none" w:sz="0" w:space="0" w:color="auto"/>
      </w:divBdr>
      <w:divsChild>
        <w:div w:id="2099864381">
          <w:marLeft w:val="0"/>
          <w:marRight w:val="0"/>
          <w:marTop w:val="0"/>
          <w:marBottom w:val="0"/>
          <w:divBdr>
            <w:top w:val="none" w:sz="0" w:space="0" w:color="auto"/>
            <w:left w:val="none" w:sz="0" w:space="0" w:color="auto"/>
            <w:bottom w:val="none" w:sz="0" w:space="0" w:color="auto"/>
            <w:right w:val="none" w:sz="0" w:space="0" w:color="auto"/>
          </w:divBdr>
          <w:divsChild>
            <w:div w:id="65150508">
              <w:marLeft w:val="0"/>
              <w:marRight w:val="0"/>
              <w:marTop w:val="0"/>
              <w:marBottom w:val="0"/>
              <w:divBdr>
                <w:top w:val="none" w:sz="0" w:space="0" w:color="auto"/>
                <w:left w:val="none" w:sz="0" w:space="0" w:color="auto"/>
                <w:bottom w:val="none" w:sz="0" w:space="0" w:color="auto"/>
                <w:right w:val="none" w:sz="0" w:space="0" w:color="auto"/>
              </w:divBdr>
              <w:divsChild>
                <w:div w:id="866605900">
                  <w:marLeft w:val="0"/>
                  <w:marRight w:val="0"/>
                  <w:marTop w:val="0"/>
                  <w:marBottom w:val="0"/>
                  <w:divBdr>
                    <w:top w:val="none" w:sz="0" w:space="0" w:color="auto"/>
                    <w:left w:val="none" w:sz="0" w:space="0" w:color="auto"/>
                    <w:bottom w:val="none" w:sz="0" w:space="0" w:color="auto"/>
                    <w:right w:val="none" w:sz="0" w:space="0" w:color="auto"/>
                  </w:divBdr>
                  <w:divsChild>
                    <w:div w:id="201019145">
                      <w:marLeft w:val="0"/>
                      <w:marRight w:val="0"/>
                      <w:marTop w:val="0"/>
                      <w:marBottom w:val="0"/>
                      <w:divBdr>
                        <w:top w:val="none" w:sz="0" w:space="0" w:color="auto"/>
                        <w:left w:val="none" w:sz="0" w:space="0" w:color="auto"/>
                        <w:bottom w:val="none" w:sz="0" w:space="0" w:color="auto"/>
                        <w:right w:val="none" w:sz="0" w:space="0" w:color="auto"/>
                      </w:divBdr>
                      <w:divsChild>
                        <w:div w:id="1647009328">
                          <w:marLeft w:val="0"/>
                          <w:marRight w:val="0"/>
                          <w:marTop w:val="0"/>
                          <w:marBottom w:val="0"/>
                          <w:divBdr>
                            <w:top w:val="none" w:sz="0" w:space="0" w:color="auto"/>
                            <w:left w:val="none" w:sz="0" w:space="0" w:color="auto"/>
                            <w:bottom w:val="none" w:sz="0" w:space="0" w:color="auto"/>
                            <w:right w:val="none" w:sz="0" w:space="0" w:color="auto"/>
                          </w:divBdr>
                          <w:divsChild>
                            <w:div w:id="1152139945">
                              <w:marLeft w:val="0"/>
                              <w:marRight w:val="0"/>
                              <w:marTop w:val="0"/>
                              <w:marBottom w:val="0"/>
                              <w:divBdr>
                                <w:top w:val="none" w:sz="0" w:space="0" w:color="auto"/>
                                <w:left w:val="none" w:sz="0" w:space="0" w:color="auto"/>
                                <w:bottom w:val="none" w:sz="0" w:space="0" w:color="auto"/>
                                <w:right w:val="none" w:sz="0" w:space="0" w:color="auto"/>
                              </w:divBdr>
                              <w:divsChild>
                                <w:div w:id="564997942">
                                  <w:marLeft w:val="0"/>
                                  <w:marRight w:val="0"/>
                                  <w:marTop w:val="0"/>
                                  <w:marBottom w:val="0"/>
                                  <w:divBdr>
                                    <w:top w:val="none" w:sz="0" w:space="0" w:color="auto"/>
                                    <w:left w:val="none" w:sz="0" w:space="0" w:color="auto"/>
                                    <w:bottom w:val="none" w:sz="0" w:space="0" w:color="auto"/>
                                    <w:right w:val="none" w:sz="0" w:space="0" w:color="auto"/>
                                  </w:divBdr>
                                  <w:divsChild>
                                    <w:div w:id="13033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474659">
      <w:bodyDiv w:val="1"/>
      <w:marLeft w:val="0"/>
      <w:marRight w:val="0"/>
      <w:marTop w:val="0"/>
      <w:marBottom w:val="0"/>
      <w:divBdr>
        <w:top w:val="none" w:sz="0" w:space="0" w:color="auto"/>
        <w:left w:val="none" w:sz="0" w:space="0" w:color="auto"/>
        <w:bottom w:val="none" w:sz="0" w:space="0" w:color="auto"/>
        <w:right w:val="none" w:sz="0" w:space="0" w:color="auto"/>
      </w:divBdr>
    </w:div>
    <w:div w:id="1362240200">
      <w:bodyDiv w:val="1"/>
      <w:marLeft w:val="0"/>
      <w:marRight w:val="0"/>
      <w:marTop w:val="0"/>
      <w:marBottom w:val="0"/>
      <w:divBdr>
        <w:top w:val="none" w:sz="0" w:space="0" w:color="auto"/>
        <w:left w:val="none" w:sz="0" w:space="0" w:color="auto"/>
        <w:bottom w:val="none" w:sz="0" w:space="0" w:color="auto"/>
        <w:right w:val="none" w:sz="0" w:space="0" w:color="auto"/>
      </w:divBdr>
    </w:div>
    <w:div w:id="1368486390">
      <w:bodyDiv w:val="1"/>
      <w:marLeft w:val="0"/>
      <w:marRight w:val="0"/>
      <w:marTop w:val="0"/>
      <w:marBottom w:val="0"/>
      <w:divBdr>
        <w:top w:val="none" w:sz="0" w:space="0" w:color="auto"/>
        <w:left w:val="none" w:sz="0" w:space="0" w:color="auto"/>
        <w:bottom w:val="none" w:sz="0" w:space="0" w:color="auto"/>
        <w:right w:val="none" w:sz="0" w:space="0" w:color="auto"/>
      </w:divBdr>
      <w:divsChild>
        <w:div w:id="1450707774">
          <w:marLeft w:val="0"/>
          <w:marRight w:val="0"/>
          <w:marTop w:val="0"/>
          <w:marBottom w:val="0"/>
          <w:divBdr>
            <w:top w:val="none" w:sz="0" w:space="0" w:color="auto"/>
            <w:left w:val="none" w:sz="0" w:space="0" w:color="auto"/>
            <w:bottom w:val="none" w:sz="0" w:space="0" w:color="auto"/>
            <w:right w:val="none" w:sz="0" w:space="0" w:color="auto"/>
          </w:divBdr>
          <w:divsChild>
            <w:div w:id="1563784292">
              <w:marLeft w:val="0"/>
              <w:marRight w:val="0"/>
              <w:marTop w:val="0"/>
              <w:marBottom w:val="0"/>
              <w:divBdr>
                <w:top w:val="none" w:sz="0" w:space="0" w:color="auto"/>
                <w:left w:val="none" w:sz="0" w:space="0" w:color="auto"/>
                <w:bottom w:val="none" w:sz="0" w:space="0" w:color="auto"/>
                <w:right w:val="none" w:sz="0" w:space="0" w:color="auto"/>
              </w:divBdr>
              <w:divsChild>
                <w:div w:id="68579525">
                  <w:marLeft w:val="0"/>
                  <w:marRight w:val="0"/>
                  <w:marTop w:val="0"/>
                  <w:marBottom w:val="0"/>
                  <w:divBdr>
                    <w:top w:val="none" w:sz="0" w:space="0" w:color="auto"/>
                    <w:left w:val="none" w:sz="0" w:space="0" w:color="auto"/>
                    <w:bottom w:val="none" w:sz="0" w:space="0" w:color="auto"/>
                    <w:right w:val="none" w:sz="0" w:space="0" w:color="auto"/>
                  </w:divBdr>
                  <w:divsChild>
                    <w:div w:id="8199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05470">
      <w:bodyDiv w:val="1"/>
      <w:marLeft w:val="0"/>
      <w:marRight w:val="0"/>
      <w:marTop w:val="0"/>
      <w:marBottom w:val="0"/>
      <w:divBdr>
        <w:top w:val="none" w:sz="0" w:space="0" w:color="auto"/>
        <w:left w:val="none" w:sz="0" w:space="0" w:color="auto"/>
        <w:bottom w:val="none" w:sz="0" w:space="0" w:color="auto"/>
        <w:right w:val="none" w:sz="0" w:space="0" w:color="auto"/>
      </w:divBdr>
    </w:div>
    <w:div w:id="1405641057">
      <w:bodyDiv w:val="1"/>
      <w:marLeft w:val="0"/>
      <w:marRight w:val="0"/>
      <w:marTop w:val="0"/>
      <w:marBottom w:val="0"/>
      <w:divBdr>
        <w:top w:val="none" w:sz="0" w:space="0" w:color="auto"/>
        <w:left w:val="none" w:sz="0" w:space="0" w:color="auto"/>
        <w:bottom w:val="none" w:sz="0" w:space="0" w:color="auto"/>
        <w:right w:val="none" w:sz="0" w:space="0" w:color="auto"/>
      </w:divBdr>
    </w:div>
    <w:div w:id="1422097820">
      <w:bodyDiv w:val="1"/>
      <w:marLeft w:val="0"/>
      <w:marRight w:val="0"/>
      <w:marTop w:val="0"/>
      <w:marBottom w:val="0"/>
      <w:divBdr>
        <w:top w:val="none" w:sz="0" w:space="0" w:color="auto"/>
        <w:left w:val="none" w:sz="0" w:space="0" w:color="auto"/>
        <w:bottom w:val="none" w:sz="0" w:space="0" w:color="auto"/>
        <w:right w:val="none" w:sz="0" w:space="0" w:color="auto"/>
      </w:divBdr>
      <w:divsChild>
        <w:div w:id="2139297799">
          <w:marLeft w:val="0"/>
          <w:marRight w:val="0"/>
          <w:marTop w:val="0"/>
          <w:marBottom w:val="0"/>
          <w:divBdr>
            <w:top w:val="none" w:sz="0" w:space="0" w:color="auto"/>
            <w:left w:val="none" w:sz="0" w:space="0" w:color="auto"/>
            <w:bottom w:val="none" w:sz="0" w:space="0" w:color="auto"/>
            <w:right w:val="none" w:sz="0" w:space="0" w:color="auto"/>
          </w:divBdr>
          <w:divsChild>
            <w:div w:id="2035111748">
              <w:marLeft w:val="0"/>
              <w:marRight w:val="0"/>
              <w:marTop w:val="0"/>
              <w:marBottom w:val="0"/>
              <w:divBdr>
                <w:top w:val="none" w:sz="0" w:space="0" w:color="auto"/>
                <w:left w:val="none" w:sz="0" w:space="0" w:color="auto"/>
                <w:bottom w:val="none" w:sz="0" w:space="0" w:color="auto"/>
                <w:right w:val="none" w:sz="0" w:space="0" w:color="auto"/>
              </w:divBdr>
              <w:divsChild>
                <w:div w:id="1646355663">
                  <w:marLeft w:val="0"/>
                  <w:marRight w:val="0"/>
                  <w:marTop w:val="0"/>
                  <w:marBottom w:val="0"/>
                  <w:divBdr>
                    <w:top w:val="none" w:sz="0" w:space="0" w:color="auto"/>
                    <w:left w:val="none" w:sz="0" w:space="0" w:color="auto"/>
                    <w:bottom w:val="none" w:sz="0" w:space="0" w:color="auto"/>
                    <w:right w:val="none" w:sz="0" w:space="0" w:color="auto"/>
                  </w:divBdr>
                  <w:divsChild>
                    <w:div w:id="704717949">
                      <w:marLeft w:val="0"/>
                      <w:marRight w:val="0"/>
                      <w:marTop w:val="0"/>
                      <w:marBottom w:val="0"/>
                      <w:divBdr>
                        <w:top w:val="none" w:sz="0" w:space="0" w:color="auto"/>
                        <w:left w:val="none" w:sz="0" w:space="0" w:color="auto"/>
                        <w:bottom w:val="none" w:sz="0" w:space="0" w:color="auto"/>
                        <w:right w:val="none" w:sz="0" w:space="0" w:color="auto"/>
                      </w:divBdr>
                      <w:divsChild>
                        <w:div w:id="1923374388">
                          <w:marLeft w:val="0"/>
                          <w:marRight w:val="0"/>
                          <w:marTop w:val="0"/>
                          <w:marBottom w:val="0"/>
                          <w:divBdr>
                            <w:top w:val="none" w:sz="0" w:space="0" w:color="auto"/>
                            <w:left w:val="none" w:sz="0" w:space="0" w:color="auto"/>
                            <w:bottom w:val="none" w:sz="0" w:space="0" w:color="auto"/>
                            <w:right w:val="none" w:sz="0" w:space="0" w:color="auto"/>
                          </w:divBdr>
                          <w:divsChild>
                            <w:div w:id="1316497537">
                              <w:marLeft w:val="0"/>
                              <w:marRight w:val="0"/>
                              <w:marTop w:val="0"/>
                              <w:marBottom w:val="0"/>
                              <w:divBdr>
                                <w:top w:val="none" w:sz="0" w:space="0" w:color="auto"/>
                                <w:left w:val="none" w:sz="0" w:space="0" w:color="auto"/>
                                <w:bottom w:val="none" w:sz="0" w:space="0" w:color="auto"/>
                                <w:right w:val="none" w:sz="0" w:space="0" w:color="auto"/>
                              </w:divBdr>
                              <w:divsChild>
                                <w:div w:id="1299645212">
                                  <w:marLeft w:val="0"/>
                                  <w:marRight w:val="0"/>
                                  <w:marTop w:val="0"/>
                                  <w:marBottom w:val="0"/>
                                  <w:divBdr>
                                    <w:top w:val="none" w:sz="0" w:space="0" w:color="auto"/>
                                    <w:left w:val="none" w:sz="0" w:space="0" w:color="auto"/>
                                    <w:bottom w:val="none" w:sz="0" w:space="0" w:color="auto"/>
                                    <w:right w:val="none" w:sz="0" w:space="0" w:color="auto"/>
                                  </w:divBdr>
                                  <w:divsChild>
                                    <w:div w:id="768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772854">
      <w:bodyDiv w:val="1"/>
      <w:marLeft w:val="0"/>
      <w:marRight w:val="0"/>
      <w:marTop w:val="0"/>
      <w:marBottom w:val="0"/>
      <w:divBdr>
        <w:top w:val="none" w:sz="0" w:space="0" w:color="auto"/>
        <w:left w:val="none" w:sz="0" w:space="0" w:color="auto"/>
        <w:bottom w:val="none" w:sz="0" w:space="0" w:color="auto"/>
        <w:right w:val="none" w:sz="0" w:space="0" w:color="auto"/>
      </w:divBdr>
      <w:divsChild>
        <w:div w:id="1143541513">
          <w:marLeft w:val="0"/>
          <w:marRight w:val="0"/>
          <w:marTop w:val="0"/>
          <w:marBottom w:val="0"/>
          <w:divBdr>
            <w:top w:val="none" w:sz="0" w:space="0" w:color="auto"/>
            <w:left w:val="none" w:sz="0" w:space="0" w:color="auto"/>
            <w:bottom w:val="none" w:sz="0" w:space="0" w:color="auto"/>
            <w:right w:val="none" w:sz="0" w:space="0" w:color="auto"/>
          </w:divBdr>
          <w:divsChild>
            <w:div w:id="930310066">
              <w:marLeft w:val="0"/>
              <w:marRight w:val="0"/>
              <w:marTop w:val="0"/>
              <w:marBottom w:val="0"/>
              <w:divBdr>
                <w:top w:val="none" w:sz="0" w:space="0" w:color="auto"/>
                <w:left w:val="none" w:sz="0" w:space="0" w:color="auto"/>
                <w:bottom w:val="none" w:sz="0" w:space="0" w:color="auto"/>
                <w:right w:val="none" w:sz="0" w:space="0" w:color="auto"/>
              </w:divBdr>
              <w:divsChild>
                <w:div w:id="1123231768">
                  <w:marLeft w:val="0"/>
                  <w:marRight w:val="0"/>
                  <w:marTop w:val="0"/>
                  <w:marBottom w:val="0"/>
                  <w:divBdr>
                    <w:top w:val="none" w:sz="0" w:space="0" w:color="auto"/>
                    <w:left w:val="none" w:sz="0" w:space="0" w:color="auto"/>
                    <w:bottom w:val="none" w:sz="0" w:space="0" w:color="auto"/>
                    <w:right w:val="none" w:sz="0" w:space="0" w:color="auto"/>
                  </w:divBdr>
                  <w:divsChild>
                    <w:div w:id="17480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8821">
      <w:bodyDiv w:val="1"/>
      <w:marLeft w:val="0"/>
      <w:marRight w:val="0"/>
      <w:marTop w:val="0"/>
      <w:marBottom w:val="0"/>
      <w:divBdr>
        <w:top w:val="none" w:sz="0" w:space="0" w:color="auto"/>
        <w:left w:val="none" w:sz="0" w:space="0" w:color="auto"/>
        <w:bottom w:val="none" w:sz="0" w:space="0" w:color="auto"/>
        <w:right w:val="none" w:sz="0" w:space="0" w:color="auto"/>
      </w:divBdr>
    </w:div>
    <w:div w:id="1725375446">
      <w:bodyDiv w:val="1"/>
      <w:marLeft w:val="0"/>
      <w:marRight w:val="0"/>
      <w:marTop w:val="0"/>
      <w:marBottom w:val="0"/>
      <w:divBdr>
        <w:top w:val="none" w:sz="0" w:space="0" w:color="auto"/>
        <w:left w:val="none" w:sz="0" w:space="0" w:color="auto"/>
        <w:bottom w:val="none" w:sz="0" w:space="0" w:color="auto"/>
        <w:right w:val="none" w:sz="0" w:space="0" w:color="auto"/>
      </w:divBdr>
      <w:divsChild>
        <w:div w:id="946615182">
          <w:marLeft w:val="0"/>
          <w:marRight w:val="0"/>
          <w:marTop w:val="0"/>
          <w:marBottom w:val="0"/>
          <w:divBdr>
            <w:top w:val="none" w:sz="0" w:space="0" w:color="auto"/>
            <w:left w:val="none" w:sz="0" w:space="0" w:color="auto"/>
            <w:bottom w:val="none" w:sz="0" w:space="0" w:color="auto"/>
            <w:right w:val="none" w:sz="0" w:space="0" w:color="auto"/>
          </w:divBdr>
        </w:div>
      </w:divsChild>
    </w:div>
    <w:div w:id="1763600491">
      <w:bodyDiv w:val="1"/>
      <w:marLeft w:val="0"/>
      <w:marRight w:val="0"/>
      <w:marTop w:val="0"/>
      <w:marBottom w:val="0"/>
      <w:divBdr>
        <w:top w:val="none" w:sz="0" w:space="0" w:color="auto"/>
        <w:left w:val="none" w:sz="0" w:space="0" w:color="auto"/>
        <w:bottom w:val="none" w:sz="0" w:space="0" w:color="auto"/>
        <w:right w:val="none" w:sz="0" w:space="0" w:color="auto"/>
      </w:divBdr>
    </w:div>
    <w:div w:id="1826117295">
      <w:bodyDiv w:val="1"/>
      <w:marLeft w:val="0"/>
      <w:marRight w:val="0"/>
      <w:marTop w:val="0"/>
      <w:marBottom w:val="0"/>
      <w:divBdr>
        <w:top w:val="none" w:sz="0" w:space="0" w:color="auto"/>
        <w:left w:val="none" w:sz="0" w:space="0" w:color="auto"/>
        <w:bottom w:val="none" w:sz="0" w:space="0" w:color="auto"/>
        <w:right w:val="none" w:sz="0" w:space="0" w:color="auto"/>
      </w:divBdr>
    </w:div>
    <w:div w:id="1867324062">
      <w:bodyDiv w:val="1"/>
      <w:marLeft w:val="0"/>
      <w:marRight w:val="0"/>
      <w:marTop w:val="0"/>
      <w:marBottom w:val="0"/>
      <w:divBdr>
        <w:top w:val="none" w:sz="0" w:space="0" w:color="auto"/>
        <w:left w:val="none" w:sz="0" w:space="0" w:color="auto"/>
        <w:bottom w:val="none" w:sz="0" w:space="0" w:color="auto"/>
        <w:right w:val="none" w:sz="0" w:space="0" w:color="auto"/>
      </w:divBdr>
      <w:divsChild>
        <w:div w:id="13457376">
          <w:marLeft w:val="0"/>
          <w:marRight w:val="0"/>
          <w:marTop w:val="0"/>
          <w:marBottom w:val="0"/>
          <w:divBdr>
            <w:top w:val="none" w:sz="0" w:space="0" w:color="auto"/>
            <w:left w:val="none" w:sz="0" w:space="0" w:color="auto"/>
            <w:bottom w:val="none" w:sz="0" w:space="0" w:color="auto"/>
            <w:right w:val="none" w:sz="0" w:space="0" w:color="auto"/>
          </w:divBdr>
        </w:div>
        <w:div w:id="88046835">
          <w:marLeft w:val="0"/>
          <w:marRight w:val="0"/>
          <w:marTop w:val="0"/>
          <w:marBottom w:val="0"/>
          <w:divBdr>
            <w:top w:val="none" w:sz="0" w:space="0" w:color="auto"/>
            <w:left w:val="none" w:sz="0" w:space="0" w:color="auto"/>
            <w:bottom w:val="none" w:sz="0" w:space="0" w:color="auto"/>
            <w:right w:val="none" w:sz="0" w:space="0" w:color="auto"/>
          </w:divBdr>
        </w:div>
        <w:div w:id="249656363">
          <w:marLeft w:val="0"/>
          <w:marRight w:val="0"/>
          <w:marTop w:val="0"/>
          <w:marBottom w:val="0"/>
          <w:divBdr>
            <w:top w:val="none" w:sz="0" w:space="0" w:color="auto"/>
            <w:left w:val="none" w:sz="0" w:space="0" w:color="auto"/>
            <w:bottom w:val="none" w:sz="0" w:space="0" w:color="auto"/>
            <w:right w:val="none" w:sz="0" w:space="0" w:color="auto"/>
          </w:divBdr>
        </w:div>
        <w:div w:id="304890509">
          <w:marLeft w:val="0"/>
          <w:marRight w:val="0"/>
          <w:marTop w:val="0"/>
          <w:marBottom w:val="0"/>
          <w:divBdr>
            <w:top w:val="none" w:sz="0" w:space="0" w:color="auto"/>
            <w:left w:val="none" w:sz="0" w:space="0" w:color="auto"/>
            <w:bottom w:val="none" w:sz="0" w:space="0" w:color="auto"/>
            <w:right w:val="none" w:sz="0" w:space="0" w:color="auto"/>
          </w:divBdr>
        </w:div>
        <w:div w:id="314191668">
          <w:marLeft w:val="0"/>
          <w:marRight w:val="0"/>
          <w:marTop w:val="0"/>
          <w:marBottom w:val="0"/>
          <w:divBdr>
            <w:top w:val="none" w:sz="0" w:space="0" w:color="auto"/>
            <w:left w:val="none" w:sz="0" w:space="0" w:color="auto"/>
            <w:bottom w:val="none" w:sz="0" w:space="0" w:color="auto"/>
            <w:right w:val="none" w:sz="0" w:space="0" w:color="auto"/>
          </w:divBdr>
        </w:div>
        <w:div w:id="371004025">
          <w:marLeft w:val="0"/>
          <w:marRight w:val="0"/>
          <w:marTop w:val="0"/>
          <w:marBottom w:val="0"/>
          <w:divBdr>
            <w:top w:val="none" w:sz="0" w:space="0" w:color="auto"/>
            <w:left w:val="none" w:sz="0" w:space="0" w:color="auto"/>
            <w:bottom w:val="none" w:sz="0" w:space="0" w:color="auto"/>
            <w:right w:val="none" w:sz="0" w:space="0" w:color="auto"/>
          </w:divBdr>
        </w:div>
        <w:div w:id="403996291">
          <w:marLeft w:val="0"/>
          <w:marRight w:val="0"/>
          <w:marTop w:val="0"/>
          <w:marBottom w:val="0"/>
          <w:divBdr>
            <w:top w:val="none" w:sz="0" w:space="0" w:color="auto"/>
            <w:left w:val="none" w:sz="0" w:space="0" w:color="auto"/>
            <w:bottom w:val="none" w:sz="0" w:space="0" w:color="auto"/>
            <w:right w:val="none" w:sz="0" w:space="0" w:color="auto"/>
          </w:divBdr>
        </w:div>
        <w:div w:id="476723333">
          <w:marLeft w:val="0"/>
          <w:marRight w:val="0"/>
          <w:marTop w:val="0"/>
          <w:marBottom w:val="0"/>
          <w:divBdr>
            <w:top w:val="none" w:sz="0" w:space="0" w:color="auto"/>
            <w:left w:val="none" w:sz="0" w:space="0" w:color="auto"/>
            <w:bottom w:val="none" w:sz="0" w:space="0" w:color="auto"/>
            <w:right w:val="none" w:sz="0" w:space="0" w:color="auto"/>
          </w:divBdr>
        </w:div>
        <w:div w:id="549265445">
          <w:marLeft w:val="0"/>
          <w:marRight w:val="0"/>
          <w:marTop w:val="0"/>
          <w:marBottom w:val="0"/>
          <w:divBdr>
            <w:top w:val="none" w:sz="0" w:space="0" w:color="auto"/>
            <w:left w:val="none" w:sz="0" w:space="0" w:color="auto"/>
            <w:bottom w:val="none" w:sz="0" w:space="0" w:color="auto"/>
            <w:right w:val="none" w:sz="0" w:space="0" w:color="auto"/>
          </w:divBdr>
        </w:div>
        <w:div w:id="621689953">
          <w:marLeft w:val="0"/>
          <w:marRight w:val="0"/>
          <w:marTop w:val="0"/>
          <w:marBottom w:val="0"/>
          <w:divBdr>
            <w:top w:val="none" w:sz="0" w:space="0" w:color="auto"/>
            <w:left w:val="none" w:sz="0" w:space="0" w:color="auto"/>
            <w:bottom w:val="none" w:sz="0" w:space="0" w:color="auto"/>
            <w:right w:val="none" w:sz="0" w:space="0" w:color="auto"/>
          </w:divBdr>
        </w:div>
        <w:div w:id="695930545">
          <w:marLeft w:val="0"/>
          <w:marRight w:val="0"/>
          <w:marTop w:val="0"/>
          <w:marBottom w:val="0"/>
          <w:divBdr>
            <w:top w:val="none" w:sz="0" w:space="0" w:color="auto"/>
            <w:left w:val="none" w:sz="0" w:space="0" w:color="auto"/>
            <w:bottom w:val="none" w:sz="0" w:space="0" w:color="auto"/>
            <w:right w:val="none" w:sz="0" w:space="0" w:color="auto"/>
          </w:divBdr>
        </w:div>
        <w:div w:id="811170734">
          <w:marLeft w:val="0"/>
          <w:marRight w:val="0"/>
          <w:marTop w:val="0"/>
          <w:marBottom w:val="0"/>
          <w:divBdr>
            <w:top w:val="none" w:sz="0" w:space="0" w:color="auto"/>
            <w:left w:val="none" w:sz="0" w:space="0" w:color="auto"/>
            <w:bottom w:val="none" w:sz="0" w:space="0" w:color="auto"/>
            <w:right w:val="none" w:sz="0" w:space="0" w:color="auto"/>
          </w:divBdr>
        </w:div>
        <w:div w:id="812328268">
          <w:marLeft w:val="0"/>
          <w:marRight w:val="0"/>
          <w:marTop w:val="0"/>
          <w:marBottom w:val="0"/>
          <w:divBdr>
            <w:top w:val="none" w:sz="0" w:space="0" w:color="auto"/>
            <w:left w:val="none" w:sz="0" w:space="0" w:color="auto"/>
            <w:bottom w:val="none" w:sz="0" w:space="0" w:color="auto"/>
            <w:right w:val="none" w:sz="0" w:space="0" w:color="auto"/>
          </w:divBdr>
        </w:div>
        <w:div w:id="816916965">
          <w:marLeft w:val="0"/>
          <w:marRight w:val="0"/>
          <w:marTop w:val="0"/>
          <w:marBottom w:val="0"/>
          <w:divBdr>
            <w:top w:val="none" w:sz="0" w:space="0" w:color="auto"/>
            <w:left w:val="none" w:sz="0" w:space="0" w:color="auto"/>
            <w:bottom w:val="none" w:sz="0" w:space="0" w:color="auto"/>
            <w:right w:val="none" w:sz="0" w:space="0" w:color="auto"/>
          </w:divBdr>
        </w:div>
        <w:div w:id="871918777">
          <w:marLeft w:val="0"/>
          <w:marRight w:val="0"/>
          <w:marTop w:val="0"/>
          <w:marBottom w:val="0"/>
          <w:divBdr>
            <w:top w:val="none" w:sz="0" w:space="0" w:color="auto"/>
            <w:left w:val="none" w:sz="0" w:space="0" w:color="auto"/>
            <w:bottom w:val="none" w:sz="0" w:space="0" w:color="auto"/>
            <w:right w:val="none" w:sz="0" w:space="0" w:color="auto"/>
          </w:divBdr>
        </w:div>
        <w:div w:id="897130754">
          <w:marLeft w:val="0"/>
          <w:marRight w:val="0"/>
          <w:marTop w:val="0"/>
          <w:marBottom w:val="0"/>
          <w:divBdr>
            <w:top w:val="none" w:sz="0" w:space="0" w:color="auto"/>
            <w:left w:val="none" w:sz="0" w:space="0" w:color="auto"/>
            <w:bottom w:val="none" w:sz="0" w:space="0" w:color="auto"/>
            <w:right w:val="none" w:sz="0" w:space="0" w:color="auto"/>
          </w:divBdr>
        </w:div>
        <w:div w:id="910623157">
          <w:marLeft w:val="0"/>
          <w:marRight w:val="0"/>
          <w:marTop w:val="0"/>
          <w:marBottom w:val="0"/>
          <w:divBdr>
            <w:top w:val="none" w:sz="0" w:space="0" w:color="auto"/>
            <w:left w:val="none" w:sz="0" w:space="0" w:color="auto"/>
            <w:bottom w:val="none" w:sz="0" w:space="0" w:color="auto"/>
            <w:right w:val="none" w:sz="0" w:space="0" w:color="auto"/>
          </w:divBdr>
        </w:div>
        <w:div w:id="1087843361">
          <w:marLeft w:val="0"/>
          <w:marRight w:val="0"/>
          <w:marTop w:val="0"/>
          <w:marBottom w:val="0"/>
          <w:divBdr>
            <w:top w:val="none" w:sz="0" w:space="0" w:color="auto"/>
            <w:left w:val="none" w:sz="0" w:space="0" w:color="auto"/>
            <w:bottom w:val="none" w:sz="0" w:space="0" w:color="auto"/>
            <w:right w:val="none" w:sz="0" w:space="0" w:color="auto"/>
          </w:divBdr>
        </w:div>
        <w:div w:id="1112168038">
          <w:marLeft w:val="0"/>
          <w:marRight w:val="0"/>
          <w:marTop w:val="0"/>
          <w:marBottom w:val="0"/>
          <w:divBdr>
            <w:top w:val="none" w:sz="0" w:space="0" w:color="auto"/>
            <w:left w:val="none" w:sz="0" w:space="0" w:color="auto"/>
            <w:bottom w:val="none" w:sz="0" w:space="0" w:color="auto"/>
            <w:right w:val="none" w:sz="0" w:space="0" w:color="auto"/>
          </w:divBdr>
        </w:div>
        <w:div w:id="1234003086">
          <w:marLeft w:val="0"/>
          <w:marRight w:val="0"/>
          <w:marTop w:val="0"/>
          <w:marBottom w:val="0"/>
          <w:divBdr>
            <w:top w:val="none" w:sz="0" w:space="0" w:color="auto"/>
            <w:left w:val="none" w:sz="0" w:space="0" w:color="auto"/>
            <w:bottom w:val="none" w:sz="0" w:space="0" w:color="auto"/>
            <w:right w:val="none" w:sz="0" w:space="0" w:color="auto"/>
          </w:divBdr>
        </w:div>
        <w:div w:id="1282952409">
          <w:marLeft w:val="0"/>
          <w:marRight w:val="0"/>
          <w:marTop w:val="0"/>
          <w:marBottom w:val="0"/>
          <w:divBdr>
            <w:top w:val="none" w:sz="0" w:space="0" w:color="auto"/>
            <w:left w:val="none" w:sz="0" w:space="0" w:color="auto"/>
            <w:bottom w:val="none" w:sz="0" w:space="0" w:color="auto"/>
            <w:right w:val="none" w:sz="0" w:space="0" w:color="auto"/>
          </w:divBdr>
        </w:div>
        <w:div w:id="1298757195">
          <w:marLeft w:val="0"/>
          <w:marRight w:val="0"/>
          <w:marTop w:val="0"/>
          <w:marBottom w:val="0"/>
          <w:divBdr>
            <w:top w:val="none" w:sz="0" w:space="0" w:color="auto"/>
            <w:left w:val="none" w:sz="0" w:space="0" w:color="auto"/>
            <w:bottom w:val="none" w:sz="0" w:space="0" w:color="auto"/>
            <w:right w:val="none" w:sz="0" w:space="0" w:color="auto"/>
          </w:divBdr>
        </w:div>
        <w:div w:id="1366100272">
          <w:marLeft w:val="0"/>
          <w:marRight w:val="0"/>
          <w:marTop w:val="0"/>
          <w:marBottom w:val="0"/>
          <w:divBdr>
            <w:top w:val="none" w:sz="0" w:space="0" w:color="auto"/>
            <w:left w:val="none" w:sz="0" w:space="0" w:color="auto"/>
            <w:bottom w:val="none" w:sz="0" w:space="0" w:color="auto"/>
            <w:right w:val="none" w:sz="0" w:space="0" w:color="auto"/>
          </w:divBdr>
        </w:div>
        <w:div w:id="1415085425">
          <w:marLeft w:val="0"/>
          <w:marRight w:val="0"/>
          <w:marTop w:val="0"/>
          <w:marBottom w:val="0"/>
          <w:divBdr>
            <w:top w:val="none" w:sz="0" w:space="0" w:color="auto"/>
            <w:left w:val="none" w:sz="0" w:space="0" w:color="auto"/>
            <w:bottom w:val="none" w:sz="0" w:space="0" w:color="auto"/>
            <w:right w:val="none" w:sz="0" w:space="0" w:color="auto"/>
          </w:divBdr>
        </w:div>
        <w:div w:id="1479687013">
          <w:marLeft w:val="0"/>
          <w:marRight w:val="0"/>
          <w:marTop w:val="0"/>
          <w:marBottom w:val="0"/>
          <w:divBdr>
            <w:top w:val="none" w:sz="0" w:space="0" w:color="auto"/>
            <w:left w:val="none" w:sz="0" w:space="0" w:color="auto"/>
            <w:bottom w:val="none" w:sz="0" w:space="0" w:color="auto"/>
            <w:right w:val="none" w:sz="0" w:space="0" w:color="auto"/>
          </w:divBdr>
        </w:div>
        <w:div w:id="1564441284">
          <w:marLeft w:val="0"/>
          <w:marRight w:val="0"/>
          <w:marTop w:val="0"/>
          <w:marBottom w:val="0"/>
          <w:divBdr>
            <w:top w:val="none" w:sz="0" w:space="0" w:color="auto"/>
            <w:left w:val="none" w:sz="0" w:space="0" w:color="auto"/>
            <w:bottom w:val="none" w:sz="0" w:space="0" w:color="auto"/>
            <w:right w:val="none" w:sz="0" w:space="0" w:color="auto"/>
          </w:divBdr>
        </w:div>
        <w:div w:id="1673606315">
          <w:marLeft w:val="0"/>
          <w:marRight w:val="0"/>
          <w:marTop w:val="0"/>
          <w:marBottom w:val="0"/>
          <w:divBdr>
            <w:top w:val="none" w:sz="0" w:space="0" w:color="auto"/>
            <w:left w:val="none" w:sz="0" w:space="0" w:color="auto"/>
            <w:bottom w:val="none" w:sz="0" w:space="0" w:color="auto"/>
            <w:right w:val="none" w:sz="0" w:space="0" w:color="auto"/>
          </w:divBdr>
        </w:div>
        <w:div w:id="1872526462">
          <w:marLeft w:val="0"/>
          <w:marRight w:val="0"/>
          <w:marTop w:val="0"/>
          <w:marBottom w:val="0"/>
          <w:divBdr>
            <w:top w:val="none" w:sz="0" w:space="0" w:color="auto"/>
            <w:left w:val="none" w:sz="0" w:space="0" w:color="auto"/>
            <w:bottom w:val="none" w:sz="0" w:space="0" w:color="auto"/>
            <w:right w:val="none" w:sz="0" w:space="0" w:color="auto"/>
          </w:divBdr>
        </w:div>
        <w:div w:id="1915551999">
          <w:marLeft w:val="0"/>
          <w:marRight w:val="0"/>
          <w:marTop w:val="0"/>
          <w:marBottom w:val="0"/>
          <w:divBdr>
            <w:top w:val="none" w:sz="0" w:space="0" w:color="auto"/>
            <w:left w:val="none" w:sz="0" w:space="0" w:color="auto"/>
            <w:bottom w:val="none" w:sz="0" w:space="0" w:color="auto"/>
            <w:right w:val="none" w:sz="0" w:space="0" w:color="auto"/>
          </w:divBdr>
        </w:div>
        <w:div w:id="2004121847">
          <w:marLeft w:val="0"/>
          <w:marRight w:val="0"/>
          <w:marTop w:val="0"/>
          <w:marBottom w:val="0"/>
          <w:divBdr>
            <w:top w:val="none" w:sz="0" w:space="0" w:color="auto"/>
            <w:left w:val="none" w:sz="0" w:space="0" w:color="auto"/>
            <w:bottom w:val="none" w:sz="0" w:space="0" w:color="auto"/>
            <w:right w:val="none" w:sz="0" w:space="0" w:color="auto"/>
          </w:divBdr>
        </w:div>
        <w:div w:id="2088921674">
          <w:marLeft w:val="0"/>
          <w:marRight w:val="0"/>
          <w:marTop w:val="0"/>
          <w:marBottom w:val="0"/>
          <w:divBdr>
            <w:top w:val="none" w:sz="0" w:space="0" w:color="auto"/>
            <w:left w:val="none" w:sz="0" w:space="0" w:color="auto"/>
            <w:bottom w:val="none" w:sz="0" w:space="0" w:color="auto"/>
            <w:right w:val="none" w:sz="0" w:space="0" w:color="auto"/>
          </w:divBdr>
        </w:div>
        <w:div w:id="2110617105">
          <w:marLeft w:val="0"/>
          <w:marRight w:val="0"/>
          <w:marTop w:val="0"/>
          <w:marBottom w:val="0"/>
          <w:divBdr>
            <w:top w:val="none" w:sz="0" w:space="0" w:color="auto"/>
            <w:left w:val="none" w:sz="0" w:space="0" w:color="auto"/>
            <w:bottom w:val="none" w:sz="0" w:space="0" w:color="auto"/>
            <w:right w:val="none" w:sz="0" w:space="0" w:color="auto"/>
          </w:divBdr>
        </w:div>
      </w:divsChild>
    </w:div>
    <w:div w:id="2092464861">
      <w:bodyDiv w:val="1"/>
      <w:marLeft w:val="0"/>
      <w:marRight w:val="0"/>
      <w:marTop w:val="0"/>
      <w:marBottom w:val="0"/>
      <w:divBdr>
        <w:top w:val="none" w:sz="0" w:space="0" w:color="auto"/>
        <w:left w:val="none" w:sz="0" w:space="0" w:color="auto"/>
        <w:bottom w:val="none" w:sz="0" w:space="0" w:color="auto"/>
        <w:right w:val="none" w:sz="0" w:space="0" w:color="auto"/>
      </w:divBdr>
      <w:divsChild>
        <w:div w:id="1120490515">
          <w:marLeft w:val="0"/>
          <w:marRight w:val="0"/>
          <w:marTop w:val="0"/>
          <w:marBottom w:val="0"/>
          <w:divBdr>
            <w:top w:val="none" w:sz="0" w:space="0" w:color="auto"/>
            <w:left w:val="none" w:sz="0" w:space="0" w:color="auto"/>
            <w:bottom w:val="none" w:sz="0" w:space="0" w:color="auto"/>
            <w:right w:val="none" w:sz="0" w:space="0" w:color="auto"/>
          </w:divBdr>
          <w:divsChild>
            <w:div w:id="803884563">
              <w:marLeft w:val="0"/>
              <w:marRight w:val="0"/>
              <w:marTop w:val="0"/>
              <w:marBottom w:val="0"/>
              <w:divBdr>
                <w:top w:val="none" w:sz="0" w:space="0" w:color="auto"/>
                <w:left w:val="none" w:sz="0" w:space="0" w:color="auto"/>
                <w:bottom w:val="none" w:sz="0" w:space="0" w:color="auto"/>
                <w:right w:val="none" w:sz="0" w:space="0" w:color="auto"/>
              </w:divBdr>
              <w:divsChild>
                <w:div w:id="2014717038">
                  <w:marLeft w:val="0"/>
                  <w:marRight w:val="0"/>
                  <w:marTop w:val="0"/>
                  <w:marBottom w:val="0"/>
                  <w:divBdr>
                    <w:top w:val="none" w:sz="0" w:space="0" w:color="auto"/>
                    <w:left w:val="none" w:sz="0" w:space="0" w:color="auto"/>
                    <w:bottom w:val="none" w:sz="0" w:space="0" w:color="auto"/>
                    <w:right w:val="none" w:sz="0" w:space="0" w:color="auto"/>
                  </w:divBdr>
                  <w:divsChild>
                    <w:div w:id="2058384832">
                      <w:marLeft w:val="0"/>
                      <w:marRight w:val="0"/>
                      <w:marTop w:val="0"/>
                      <w:marBottom w:val="0"/>
                      <w:divBdr>
                        <w:top w:val="none" w:sz="0" w:space="0" w:color="auto"/>
                        <w:left w:val="none" w:sz="0" w:space="0" w:color="auto"/>
                        <w:bottom w:val="none" w:sz="0" w:space="0" w:color="auto"/>
                        <w:right w:val="none" w:sz="0" w:space="0" w:color="auto"/>
                      </w:divBdr>
                      <w:divsChild>
                        <w:div w:id="1438795627">
                          <w:marLeft w:val="0"/>
                          <w:marRight w:val="0"/>
                          <w:marTop w:val="0"/>
                          <w:marBottom w:val="0"/>
                          <w:divBdr>
                            <w:top w:val="none" w:sz="0" w:space="0" w:color="auto"/>
                            <w:left w:val="none" w:sz="0" w:space="0" w:color="auto"/>
                            <w:bottom w:val="none" w:sz="0" w:space="0" w:color="auto"/>
                            <w:right w:val="none" w:sz="0" w:space="0" w:color="auto"/>
                          </w:divBdr>
                          <w:divsChild>
                            <w:div w:id="1482843162">
                              <w:marLeft w:val="0"/>
                              <w:marRight w:val="0"/>
                              <w:marTop w:val="0"/>
                              <w:marBottom w:val="0"/>
                              <w:divBdr>
                                <w:top w:val="none" w:sz="0" w:space="0" w:color="auto"/>
                                <w:left w:val="none" w:sz="0" w:space="0" w:color="auto"/>
                                <w:bottom w:val="none" w:sz="0" w:space="0" w:color="auto"/>
                                <w:right w:val="none" w:sz="0" w:space="0" w:color="auto"/>
                              </w:divBdr>
                              <w:divsChild>
                                <w:div w:id="1409425679">
                                  <w:marLeft w:val="0"/>
                                  <w:marRight w:val="0"/>
                                  <w:marTop w:val="0"/>
                                  <w:marBottom w:val="0"/>
                                  <w:divBdr>
                                    <w:top w:val="none" w:sz="0" w:space="0" w:color="auto"/>
                                    <w:left w:val="none" w:sz="0" w:space="0" w:color="auto"/>
                                    <w:bottom w:val="none" w:sz="0" w:space="0" w:color="auto"/>
                                    <w:right w:val="none" w:sz="0" w:space="0" w:color="auto"/>
                                  </w:divBdr>
                                  <w:divsChild>
                                    <w:div w:id="5022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952631">
      <w:bodyDiv w:val="1"/>
      <w:marLeft w:val="0"/>
      <w:marRight w:val="0"/>
      <w:marTop w:val="0"/>
      <w:marBottom w:val="0"/>
      <w:divBdr>
        <w:top w:val="none" w:sz="0" w:space="0" w:color="auto"/>
        <w:left w:val="none" w:sz="0" w:space="0" w:color="auto"/>
        <w:bottom w:val="none" w:sz="0" w:space="0" w:color="auto"/>
        <w:right w:val="none" w:sz="0" w:space="0" w:color="auto"/>
      </w:divBdr>
      <w:divsChild>
        <w:div w:id="199712261">
          <w:marLeft w:val="0"/>
          <w:marRight w:val="0"/>
          <w:marTop w:val="0"/>
          <w:marBottom w:val="0"/>
          <w:divBdr>
            <w:top w:val="none" w:sz="0" w:space="0" w:color="auto"/>
            <w:left w:val="none" w:sz="0" w:space="0" w:color="auto"/>
            <w:bottom w:val="none" w:sz="0" w:space="0" w:color="auto"/>
            <w:right w:val="none" w:sz="0" w:space="0" w:color="auto"/>
          </w:divBdr>
          <w:divsChild>
            <w:div w:id="1376927699">
              <w:marLeft w:val="0"/>
              <w:marRight w:val="0"/>
              <w:marTop w:val="0"/>
              <w:marBottom w:val="0"/>
              <w:divBdr>
                <w:top w:val="none" w:sz="0" w:space="0" w:color="auto"/>
                <w:left w:val="none" w:sz="0" w:space="0" w:color="auto"/>
                <w:bottom w:val="none" w:sz="0" w:space="0" w:color="auto"/>
                <w:right w:val="none" w:sz="0" w:space="0" w:color="auto"/>
              </w:divBdr>
              <w:divsChild>
                <w:div w:id="15309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s.wikipedia.org/wiki/Molekula" TargetMode="External"/><Relationship Id="rId26" Type="http://schemas.openxmlformats.org/officeDocument/2006/relationships/oleObject" Target="embeddings/oleObject3.bin"/><Relationship Id="rId39" Type="http://schemas.openxmlformats.org/officeDocument/2006/relationships/hyperlink" Target="http://cs.wikipedia.org/wiki/Malajsie" TargetMode="External"/><Relationship Id="rId21" Type="http://schemas.openxmlformats.org/officeDocument/2006/relationships/image" Target="media/image5.png"/><Relationship Id="rId34" Type="http://schemas.openxmlformats.org/officeDocument/2006/relationships/oleObject" Target="embeddings/oleObject7.bin"/><Relationship Id="rId42" Type="http://schemas.openxmlformats.org/officeDocument/2006/relationships/hyperlink" Target="http://cs.wikipedia.org/wiki/Spojen%C3%A9_arabsk%C3%A9_emir%C3%A1ty" TargetMode="External"/><Relationship Id="rId47" Type="http://schemas.openxmlformats.org/officeDocument/2006/relationships/image" Target="media/image16.emf"/><Relationship Id="rId50" Type="http://schemas.openxmlformats.org/officeDocument/2006/relationships/image" Target="media/image19.jpeg"/><Relationship Id="rId55" Type="http://schemas.openxmlformats.org/officeDocument/2006/relationships/image" Target="media/image24.emf"/><Relationship Id="rId63" Type="http://schemas.openxmlformats.org/officeDocument/2006/relationships/chart" Target="charts/chart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a.doe.gov/basics/quickoil.html"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3.jpeg"/><Relationship Id="rId40" Type="http://schemas.openxmlformats.org/officeDocument/2006/relationships/hyperlink" Target="http://cs.wikipedia.org/wiki/D%C3%A1ln%C3%BD_v%C3%BDchod" TargetMode="External"/><Relationship Id="rId45" Type="http://schemas.openxmlformats.org/officeDocument/2006/relationships/image" Target="media/image15.png"/><Relationship Id="rId53" Type="http://schemas.openxmlformats.org/officeDocument/2006/relationships/image" Target="media/image22.jpeg"/><Relationship Id="rId58" Type="http://schemas.openxmlformats.org/officeDocument/2006/relationships/image" Target="media/image26.emf"/><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8.png"/><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hyperlink" Target="http://www.merocr.eu/files/ropa_ropa_ropa.pdf" TargetMode="External"/><Relationship Id="rId19" Type="http://schemas.openxmlformats.org/officeDocument/2006/relationships/hyperlink" Target="https://cs.wikipedia.org/wiki/Uhl%C3%ADk" TargetMode="External"/><Relationship Id="rId31" Type="http://schemas.openxmlformats.org/officeDocument/2006/relationships/image" Target="media/image10.png"/><Relationship Id="rId44" Type="http://schemas.openxmlformats.org/officeDocument/2006/relationships/hyperlink" Target="http://cs.wikipedia.org/wiki/OPEC" TargetMode="External"/><Relationship Id="rId52" Type="http://schemas.openxmlformats.org/officeDocument/2006/relationships/image" Target="media/image21.jpeg"/><Relationship Id="rId60" Type="http://schemas.openxmlformats.org/officeDocument/2006/relationships/image" Target="media/image27.emf"/><Relationship Id="rId6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www.reflex.cz/Clanek30244.html" TargetMode="Externa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hyperlink" Target="http://cs.wikipedia.org/wiki/Mexiko" TargetMode="External"/><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chart" Target="charts/chart2.xml"/><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s.wikipedia.org/wiki/Organick%C3%A1_slou%C4%8Denina"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http://www.simopt.cz/energyweb/web/EE/images/02/21_07.gif" TargetMode="External"/><Relationship Id="rId59" Type="http://schemas.openxmlformats.org/officeDocument/2006/relationships/oleObject" Target="embeddings/oleObject10.bin"/><Relationship Id="rId67" Type="http://schemas.openxmlformats.org/officeDocument/2006/relationships/footer" Target="footer4.xml"/><Relationship Id="rId20" Type="http://schemas.openxmlformats.org/officeDocument/2006/relationships/hyperlink" Target="https://cs.wikipedia.org/wiki/Vod%C3%ADk" TargetMode="External"/><Relationship Id="rId41" Type="http://schemas.openxmlformats.org/officeDocument/2006/relationships/hyperlink" Target="http://cs.wikipedia.org/wiki/Sa%C3%BAdsk%C3%A1_Ar%C3%A1bie" TargetMode="External"/><Relationship Id="rId54" Type="http://schemas.openxmlformats.org/officeDocument/2006/relationships/image" Target="media/image23.jpeg"/><Relationship Id="rId62" Type="http://schemas.openxmlformats.org/officeDocument/2006/relationships/image" Target="media/image28.emf"/></Relationships>
</file>

<file path=word/charts/_rels/chart1.xml.rels><?xml version="1.0" encoding="UTF-8" standalone="yes"?>
<Relationships xmlns="http://schemas.openxmlformats.org/package/2006/relationships"><Relationship Id="rId1" Type="http://schemas.openxmlformats.org/officeDocument/2006/relationships/oleObject" Target="file:///E:\Literatura%202017.11.15\PHM1\ropa\dovoz%20ropy.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3.xml.rels><?xml version="1.0" encoding="UTF-8" standalone="yes"?>
<Relationships xmlns="http://schemas.openxmlformats.org/package/2006/relationships"><Relationship Id="rId1" Type="http://schemas.openxmlformats.org/officeDocument/2006/relationships/oleObject" Target="file:///E:\Literatura%202017.11.15\PHM1\ropa\dovoz%20r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21649484536082"/>
          <c:y val="0.16510514498940645"/>
          <c:w val="0.86518627479257404"/>
          <c:h val="0.65382833169950194"/>
        </c:manualLayout>
      </c:layout>
      <c:barChart>
        <c:barDir val="col"/>
        <c:grouping val="clustered"/>
        <c:varyColors val="0"/>
        <c:ser>
          <c:idx val="0"/>
          <c:order val="0"/>
          <c:tx>
            <c:strRef>
              <c:f>grafy!$C$5</c:f>
              <c:strCache>
                <c:ptCount val="1"/>
                <c:pt idx="0">
                  <c:v>ropa mil. [t]</c:v>
                </c:pt>
              </c:strCache>
            </c:strRef>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dLbl>
              <c:idx val="2"/>
              <c:layout>
                <c:manualLayout>
                  <c:x val="1.1611332088643928E-3"/>
                  <c:y val="1.264819303542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23-4D01-B176-7EA9D32520CA}"/>
                </c:ext>
              </c:extLst>
            </c:dLbl>
            <c:numFmt formatCode="#,##0" sourceLinked="0"/>
            <c:spPr>
              <a:noFill/>
              <a:ln w="25400">
                <a:noFill/>
              </a:ln>
            </c:spPr>
            <c:txPr>
              <a:bodyPr/>
              <a:lstStyle/>
              <a:p>
                <a:pPr>
                  <a:defRPr sz="950" b="1"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grafy!$D$7:$O$7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grafy!$D$5:$O$5</c:f>
              <c:numCache>
                <c:formatCode>General</c:formatCode>
                <c:ptCount val="12"/>
                <c:pt idx="0">
                  <c:v>7736</c:v>
                </c:pt>
                <c:pt idx="1">
                  <c:v>7765.1</c:v>
                </c:pt>
                <c:pt idx="2">
                  <c:v>7186.3</c:v>
                </c:pt>
                <c:pt idx="3">
                  <c:v>8108</c:v>
                </c:pt>
                <c:pt idx="4">
                  <c:v>7320</c:v>
                </c:pt>
                <c:pt idx="5" formatCode="#,##0.00">
                  <c:v>7727.9</c:v>
                </c:pt>
                <c:pt idx="6" formatCode="#,##0.00">
                  <c:v>6925</c:v>
                </c:pt>
                <c:pt idx="7" formatCode="#,##0.00">
                  <c:v>7074</c:v>
                </c:pt>
                <c:pt idx="8" formatCode="#,##0.00">
                  <c:v>6551</c:v>
                </c:pt>
                <c:pt idx="9" formatCode="#,##0.00">
                  <c:v>7370</c:v>
                </c:pt>
                <c:pt idx="10" formatCode="#,##0.00">
                  <c:v>7132</c:v>
                </c:pt>
                <c:pt idx="11" formatCode="#,##0.00">
                  <c:v>5324</c:v>
                </c:pt>
              </c:numCache>
            </c:numRef>
          </c:val>
          <c:extLst>
            <c:ext xmlns:c16="http://schemas.microsoft.com/office/drawing/2014/chart" uri="{C3380CC4-5D6E-409C-BE32-E72D297353CC}">
              <c16:uniqueId val="{00000001-F223-4D01-B176-7EA9D32520CA}"/>
            </c:ext>
          </c:extLst>
        </c:ser>
        <c:ser>
          <c:idx val="1"/>
          <c:order val="1"/>
          <c:tx>
            <c:strRef>
              <c:f>grafy!$C$6</c:f>
              <c:strCache>
                <c:ptCount val="1"/>
                <c:pt idx="0">
                  <c:v>cena [mld]</c:v>
                </c:pt>
              </c:strCache>
            </c:strRef>
          </c:tx>
          <c:spPr>
            <a:gradFill rotWithShape="0">
              <a:gsLst>
                <a:gs pos="0">
                  <a:srgbClr val="993366">
                    <a:gamma/>
                    <a:shade val="57255"/>
                    <a:invGamma/>
                  </a:srgbClr>
                </a:gs>
                <a:gs pos="50000">
                  <a:srgbClr val="993366"/>
                </a:gs>
                <a:gs pos="100000">
                  <a:srgbClr val="993366">
                    <a:gamma/>
                    <a:shade val="57255"/>
                    <a:invGamma/>
                  </a:srgbClr>
                </a:gs>
              </a:gsLst>
              <a:lin ang="0" scaled="1"/>
            </a:gradFill>
            <a:ln w="12700">
              <a:solidFill>
                <a:srgbClr val="000000"/>
              </a:solidFill>
              <a:prstDash val="solid"/>
            </a:ln>
          </c:spPr>
          <c:invertIfNegative val="0"/>
          <c:dLbls>
            <c:dLbl>
              <c:idx val="0"/>
              <c:layout>
                <c:manualLayout>
                  <c:x val="1.5686274509803921E-2"/>
                  <c:y val="5.02966297600791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23-4D01-B176-7EA9D32520CA}"/>
                </c:ext>
              </c:extLst>
            </c:dLbl>
            <c:dLbl>
              <c:idx val="1"/>
              <c:layout>
                <c:manualLayout>
                  <c:x val="1.5686274509803921E-2"/>
                  <c:y val="5.02966297600791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23-4D01-B176-7EA9D32520CA}"/>
                </c:ext>
              </c:extLst>
            </c:dLbl>
            <c:dLbl>
              <c:idx val="2"/>
              <c:layout>
                <c:manualLayout>
                  <c:x val="1.3071895424836558E-2"/>
                  <c:y val="1.09739368998628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23-4D01-B176-7EA9D32520CA}"/>
                </c:ext>
              </c:extLst>
            </c:dLbl>
            <c:dLbl>
              <c:idx val="3"/>
              <c:layout>
                <c:manualLayout>
                  <c:x val="1.5686274509803921E-2"/>
                  <c:y val="1.6196650117530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23-4D01-B176-7EA9D32520CA}"/>
                </c:ext>
              </c:extLst>
            </c:dLbl>
            <c:dLbl>
              <c:idx val="5"/>
              <c:layout>
                <c:manualLayout>
                  <c:x val="2.0915032679738571E-2"/>
                  <c:y val="4.908466277790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23-4D01-B176-7EA9D32520CA}"/>
                </c:ext>
              </c:extLst>
            </c:dLbl>
            <c:dLbl>
              <c:idx val="6"/>
              <c:layout>
                <c:manualLayout>
                  <c:x val="1.3071895424836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23-4D01-B176-7EA9D32520CA}"/>
                </c:ext>
              </c:extLst>
            </c:dLbl>
            <c:dLbl>
              <c:idx val="7"/>
              <c:layout>
                <c:manualLayout>
                  <c:x val="9.7680097680097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23-4D01-B176-7EA9D32520CA}"/>
                </c:ext>
              </c:extLst>
            </c:dLbl>
            <c:numFmt formatCode="#,##0" sourceLinked="0"/>
            <c:spPr>
              <a:noFill/>
              <a:ln w="25400">
                <a:noFill/>
              </a:ln>
            </c:spPr>
            <c:txPr>
              <a:bodyPr/>
              <a:lstStyle/>
              <a:p>
                <a:pPr>
                  <a:defRPr sz="1025" b="1"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grafy!$D$7:$O$7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grafy!$D$6:$O$6</c:f>
              <c:numCache>
                <c:formatCode>General</c:formatCode>
                <c:ptCount val="12"/>
                <c:pt idx="0">
                  <c:v>69.8</c:v>
                </c:pt>
                <c:pt idx="1">
                  <c:v>80.5</c:v>
                </c:pt>
                <c:pt idx="2">
                  <c:v>73.5</c:v>
                </c:pt>
                <c:pt idx="3">
                  <c:v>98.3</c:v>
                </c:pt>
                <c:pt idx="5">
                  <c:v>84.8</c:v>
                </c:pt>
                <c:pt idx="6">
                  <c:v>99.3</c:v>
                </c:pt>
                <c:pt idx="7">
                  <c:v>114.5</c:v>
                </c:pt>
                <c:pt idx="8">
                  <c:v>104.2</c:v>
                </c:pt>
                <c:pt idx="9">
                  <c:v>114</c:v>
                </c:pt>
                <c:pt idx="10">
                  <c:v>71.2</c:v>
                </c:pt>
                <c:pt idx="11">
                  <c:v>41</c:v>
                </c:pt>
              </c:numCache>
            </c:numRef>
          </c:val>
          <c:extLst>
            <c:ext xmlns:c16="http://schemas.microsoft.com/office/drawing/2014/chart" uri="{C3380CC4-5D6E-409C-BE32-E72D297353CC}">
              <c16:uniqueId val="{00000009-F223-4D01-B176-7EA9D32520CA}"/>
            </c:ext>
          </c:extLst>
        </c:ser>
        <c:dLbls>
          <c:showLegendKey val="0"/>
          <c:showVal val="0"/>
          <c:showCatName val="0"/>
          <c:showSerName val="0"/>
          <c:showPercent val="0"/>
          <c:showBubbleSize val="0"/>
        </c:dLbls>
        <c:gapWidth val="150"/>
        <c:axId val="50104960"/>
        <c:axId val="109908352"/>
      </c:barChart>
      <c:catAx>
        <c:axId val="501049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09908352"/>
        <c:crosses val="autoZero"/>
        <c:auto val="1"/>
        <c:lblAlgn val="ctr"/>
        <c:lblOffset val="100"/>
        <c:tickLblSkip val="1"/>
        <c:tickMarkSkip val="1"/>
        <c:noMultiLvlLbl val="0"/>
      </c:catAx>
      <c:valAx>
        <c:axId val="109908352"/>
        <c:scaling>
          <c:logBase val="10"/>
          <c:orientation val="minMax"/>
          <c:max val="10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50104960"/>
        <c:crosses val="autoZero"/>
        <c:crossBetween val="between"/>
      </c:valAx>
      <c:spPr>
        <a:noFill/>
        <a:ln w="12700">
          <a:solidFill>
            <a:srgbClr val="FFFF99"/>
          </a:solidFill>
          <a:prstDash val="solid"/>
        </a:ln>
      </c:spPr>
    </c:plotArea>
    <c:legend>
      <c:legendPos val="r"/>
      <c:layout>
        <c:manualLayout>
          <c:xMode val="edge"/>
          <c:yMode val="edge"/>
          <c:x val="0.27537615490371398"/>
          <c:y val="5.4685935342420225E-4"/>
          <c:w val="0.5151632968955806"/>
          <c:h val="9.8965099242112858E-2"/>
        </c:manualLayout>
      </c:layout>
      <c:overlay val="0"/>
      <c:spPr>
        <a:noFill/>
        <a:ln w="3175">
          <a:noFill/>
          <a:prstDash val="solid"/>
        </a:ln>
        <a:effectLst>
          <a:outerShdw dist="35921" dir="2700000" algn="br">
            <a:srgbClr val="000000"/>
          </a:outerShdw>
        </a:effectLst>
      </c:spPr>
      <c:txPr>
        <a:bodyPr/>
        <a:lstStyle/>
        <a:p>
          <a:pPr>
            <a:defRPr sz="1100" b="0" i="0" u="none" strike="noStrike" baseline="0">
              <a:solidFill>
                <a:srgbClr val="000000"/>
              </a:solidFill>
              <a:latin typeface="Arial"/>
              <a:ea typeface="Arial"/>
              <a:cs typeface="Arial"/>
            </a:defRPr>
          </a:pPr>
          <a:endParaRPr lang="cs-CZ"/>
        </a:p>
      </c:txPr>
    </c:legend>
    <c:plotVisOnly val="1"/>
    <c:dispBlanksAs val="gap"/>
    <c:showDLblsOverMax val="0"/>
  </c:chart>
  <c:spPr>
    <a:gradFill rotWithShape="0">
      <a:gsLst>
        <a:gs pos="0">
          <a:schemeClr val="bg1">
            <a:lumMod val="60000"/>
            <a:lumOff val="40000"/>
          </a:schemeClr>
        </a:gs>
        <a:gs pos="100000">
          <a:srgbClr val="FFFF00">
            <a:gamma/>
            <a:tint val="44314"/>
            <a:invGamma/>
          </a:srgbClr>
        </a:gs>
      </a:gsLst>
      <a:lin ang="5400000" scaled="1"/>
    </a:gradFill>
    <a:ln w="25400">
      <a:solidFill>
        <a:srgbClr val="FFCC00"/>
      </a:solidFill>
      <a:prstDash val="solid"/>
    </a:ln>
  </c:spPr>
  <c:txPr>
    <a:bodyPr/>
    <a:lstStyle/>
    <a:p>
      <a:pPr>
        <a:defRPr sz="875"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984771573604066E-2"/>
          <c:y val="4.8327137546468404E-2"/>
          <c:w val="0.90609137055837563"/>
          <c:h val="0.76208178438661711"/>
        </c:manualLayout>
      </c:layout>
      <c:lineChart>
        <c:grouping val="standard"/>
        <c:varyColors val="0"/>
        <c:ser>
          <c:idx val="0"/>
          <c:order val="0"/>
          <c:spPr>
            <a:ln w="38101">
              <a:solidFill>
                <a:srgbClr val="000080"/>
              </a:solidFill>
              <a:prstDash val="solid"/>
            </a:ln>
          </c:spPr>
          <c:marker>
            <c:symbol val="x"/>
            <c:size val="3"/>
            <c:spPr>
              <a:solidFill>
                <a:srgbClr val="3366FF"/>
              </a:solidFill>
              <a:ln>
                <a:solidFill>
                  <a:srgbClr val="0000FF"/>
                </a:solidFill>
                <a:prstDash val="solid"/>
              </a:ln>
            </c:spPr>
          </c:marker>
          <c:cat>
            <c:numRef>
              <c:f>List1!$C$7:$Q$7</c:f>
              <c:numCache>
                <c:formatCode>General</c:formatCode>
                <c:ptCount val="15"/>
                <c:pt idx="0">
                  <c:v>1990</c:v>
                </c:pt>
                <c:pt idx="1">
                  <c:v>1992</c:v>
                </c:pt>
                <c:pt idx="2">
                  <c:v>1994</c:v>
                </c:pt>
                <c:pt idx="3">
                  <c:v>1996</c:v>
                </c:pt>
                <c:pt idx="4">
                  <c:v>1997</c:v>
                </c:pt>
                <c:pt idx="5">
                  <c:v>1998</c:v>
                </c:pt>
                <c:pt idx="6">
                  <c:v>1999</c:v>
                </c:pt>
                <c:pt idx="7">
                  <c:v>2000</c:v>
                </c:pt>
                <c:pt idx="8">
                  <c:v>2001</c:v>
                </c:pt>
                <c:pt idx="9">
                  <c:v>2002</c:v>
                </c:pt>
                <c:pt idx="10">
                  <c:v>2003</c:v>
                </c:pt>
                <c:pt idx="11">
                  <c:v>2004</c:v>
                </c:pt>
                <c:pt idx="12">
                  <c:v>2005</c:v>
                </c:pt>
                <c:pt idx="13">
                  <c:v>2006</c:v>
                </c:pt>
                <c:pt idx="14">
                  <c:v>2007</c:v>
                </c:pt>
              </c:numCache>
            </c:numRef>
          </c:cat>
          <c:val>
            <c:numRef>
              <c:f>List1!$C$6:$Q$6</c:f>
              <c:numCache>
                <c:formatCode>General</c:formatCode>
                <c:ptCount val="15"/>
                <c:pt idx="0">
                  <c:v>65</c:v>
                </c:pt>
                <c:pt idx="1">
                  <c:v>92</c:v>
                </c:pt>
                <c:pt idx="2">
                  <c:v>242</c:v>
                </c:pt>
                <c:pt idx="3">
                  <c:v>182</c:v>
                </c:pt>
                <c:pt idx="4">
                  <c:v>208</c:v>
                </c:pt>
                <c:pt idx="5">
                  <c:v>215</c:v>
                </c:pt>
                <c:pt idx="6">
                  <c:v>255</c:v>
                </c:pt>
                <c:pt idx="7">
                  <c:v>261</c:v>
                </c:pt>
                <c:pt idx="8">
                  <c:v>285</c:v>
                </c:pt>
                <c:pt idx="9">
                  <c:v>298</c:v>
                </c:pt>
                <c:pt idx="10">
                  <c:v>302</c:v>
                </c:pt>
                <c:pt idx="11">
                  <c:v>355</c:v>
                </c:pt>
                <c:pt idx="12">
                  <c:v>340.6</c:v>
                </c:pt>
                <c:pt idx="13">
                  <c:v>291.60000000000002</c:v>
                </c:pt>
                <c:pt idx="14">
                  <c:v>252.4</c:v>
                </c:pt>
              </c:numCache>
            </c:numRef>
          </c:val>
          <c:smooth val="0"/>
          <c:extLst>
            <c:ext xmlns:c16="http://schemas.microsoft.com/office/drawing/2014/chart" uri="{C3380CC4-5D6E-409C-BE32-E72D297353CC}">
              <c16:uniqueId val="{00000000-6D72-4A02-8A23-63BA0895EC4A}"/>
            </c:ext>
          </c:extLst>
        </c:ser>
        <c:dLbls>
          <c:showLegendKey val="0"/>
          <c:showVal val="0"/>
          <c:showCatName val="0"/>
          <c:showSerName val="0"/>
          <c:showPercent val="0"/>
          <c:showBubbleSize val="0"/>
        </c:dLbls>
        <c:marker val="1"/>
        <c:smooth val="0"/>
        <c:axId val="140821552"/>
        <c:axId val="1"/>
      </c:lineChart>
      <c:catAx>
        <c:axId val="14082155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00" b="0" i="0" u="none" strike="noStrike" baseline="0">
                <a:solidFill>
                  <a:srgbClr val="000000"/>
                </a:solidFill>
                <a:latin typeface="Arial"/>
                <a:ea typeface="Arial"/>
                <a:cs typeface="Arial"/>
              </a:defRPr>
            </a:pPr>
            <a:endParaRPr lang="cs-CZ"/>
          </a:p>
        </c:txPr>
        <c:crossAx val="1"/>
        <c:crosses val="autoZero"/>
        <c:auto val="1"/>
        <c:lblAlgn val="ctr"/>
        <c:lblOffset val="100"/>
        <c:tickLblSkip val="2"/>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cs-CZ"/>
          </a:p>
        </c:txPr>
        <c:crossAx val="140821552"/>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975" b="0"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8977853492342"/>
          <c:y val="5.5727554179566562E-2"/>
          <c:w val="0.83816013628620101"/>
          <c:h val="0.75851393188854488"/>
        </c:manualLayout>
      </c:layout>
      <c:lineChart>
        <c:grouping val="stacked"/>
        <c:varyColors val="0"/>
        <c:ser>
          <c:idx val="1"/>
          <c:order val="0"/>
          <c:tx>
            <c:strRef>
              <c:f>grafy!$AC$12</c:f>
              <c:strCache>
                <c:ptCount val="1"/>
                <c:pt idx="0">
                  <c:v>spotřeba tis.tun</c:v>
                </c:pt>
              </c:strCache>
            </c:strRef>
          </c:tx>
          <c:spPr>
            <a:ln w="25400">
              <a:solidFill>
                <a:srgbClr val="3366FF"/>
              </a:solidFill>
              <a:prstDash val="solid"/>
            </a:ln>
          </c:spPr>
          <c:marker>
            <c:symbol val="square"/>
            <c:size val="3"/>
            <c:spPr>
              <a:solidFill>
                <a:srgbClr val="0000FF"/>
              </a:solidFill>
              <a:ln>
                <a:solidFill>
                  <a:srgbClr val="0000FF"/>
                </a:solidFill>
                <a:prstDash val="solid"/>
              </a:ln>
            </c:spPr>
          </c:marker>
          <c:dLbls>
            <c:dLbl>
              <c:idx val="0"/>
              <c:layout>
                <c:manualLayout>
                  <c:x val="-3.7194865122268592E-2"/>
                  <c:y val="-6.8681569602561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30-4425-9261-C6EE787DD4B2}"/>
                </c:ext>
              </c:extLst>
            </c:dLbl>
            <c:dLbl>
              <c:idx val="1"/>
              <c:layout>
                <c:manualLayout>
                  <c:x val="-4.4728434504792379E-2"/>
                  <c:y val="-4.3781094527363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30-4425-9261-C6EE787DD4B2}"/>
                </c:ext>
              </c:extLst>
            </c:dLbl>
            <c:dLbl>
              <c:idx val="2"/>
              <c:layout>
                <c:manualLayout>
                  <c:x val="-5.5509714640302507E-2"/>
                  <c:y val="4.7831080816390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30-4425-9261-C6EE787DD4B2}"/>
                </c:ext>
              </c:extLst>
            </c:dLbl>
            <c:dLbl>
              <c:idx val="3"/>
              <c:layout>
                <c:manualLayout>
                  <c:x val="-4.2598509052183195E-2"/>
                  <c:y val="-4.3781094527363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30-4425-9261-C6EE787DD4B2}"/>
                </c:ext>
              </c:extLst>
            </c:dLbl>
            <c:dLbl>
              <c:idx val="4"/>
              <c:layout>
                <c:manualLayout>
                  <c:x val="-3.1948881789137379E-2"/>
                  <c:y val="5.572139303482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30-4425-9261-C6EE787DD4B2}"/>
                </c:ext>
              </c:extLst>
            </c:dLbl>
            <c:dLbl>
              <c:idx val="5"/>
              <c:layout>
                <c:manualLayout>
                  <c:x val="-4.4009175173375867E-2"/>
                  <c:y val="-5.6665285260395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30-4425-9261-C6EE787DD4B2}"/>
                </c:ext>
              </c:extLst>
            </c:dLbl>
            <c:dLbl>
              <c:idx val="6"/>
              <c:layout>
                <c:manualLayout>
                  <c:x val="-3.7194865122268619E-2"/>
                  <c:y val="4.1651186790505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30-4425-9261-C6EE787DD4B2}"/>
                </c:ext>
              </c:extLst>
            </c:dLbl>
            <c:dLbl>
              <c:idx val="7"/>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30-4425-9261-C6EE787DD4B2}"/>
                </c:ext>
              </c:extLst>
            </c:dLbl>
            <c:dLbl>
              <c:idx val="8"/>
              <c:layout>
                <c:manualLayout>
                  <c:x val="-5.5378248367418254E-2"/>
                  <c:y val="-3.184079601990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30-4425-9261-C6EE787DD4B2}"/>
                </c:ext>
              </c:extLst>
            </c:dLbl>
            <c:dLbl>
              <c:idx val="9"/>
              <c:layout>
                <c:manualLayout>
                  <c:x val="-3.8338658146964931E-2"/>
                  <c:y val="-3.184079601990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30-4425-9261-C6EE787DD4B2}"/>
                </c:ext>
              </c:extLst>
            </c:dLbl>
            <c:dLbl>
              <c:idx val="10"/>
              <c:layout>
                <c:manualLayout>
                  <c:x val="-4.4728434504792379E-2"/>
                  <c:y val="4.7761194029850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30-4425-9261-C6EE787DD4B2}"/>
                </c:ext>
              </c:extLst>
            </c:dLbl>
            <c:dLbl>
              <c:idx val="11"/>
              <c:layout>
                <c:manualLayout>
                  <c:x val="-4.4728434504792379E-2"/>
                  <c:y val="-3.5820895522388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30-4425-9261-C6EE787DD4B2}"/>
                </c:ext>
              </c:extLst>
            </c:dLbl>
            <c:dLbl>
              <c:idx val="12"/>
              <c:layout>
                <c:manualLayout>
                  <c:x val="-4.4728434504792379E-2"/>
                  <c:y val="3.582089552238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30-4425-9261-C6EE787DD4B2}"/>
                </c:ext>
              </c:extLst>
            </c:dLbl>
            <c:dLbl>
              <c:idx val="13"/>
              <c:layout>
                <c:manualLayout>
                  <c:x val="-8.5197018104366407E-3"/>
                  <c:y val="-3.582089552238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30-4425-9261-C6EE787DD4B2}"/>
                </c:ext>
              </c:extLst>
            </c:dLbl>
            <c:dLbl>
              <c:idx val="14"/>
              <c:layout>
                <c:manualLayout>
                  <c:x val="-6.8259385665528976E-3"/>
                  <c:y val="3.021718602455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30-4425-9261-C6EE787DD4B2}"/>
                </c:ext>
              </c:extLst>
            </c:dLbl>
            <c:spPr>
              <a:noFill/>
              <a:ln w="25400">
                <a:noFill/>
              </a:ln>
            </c:spPr>
            <c:txPr>
              <a:bodyPr/>
              <a:lstStyle/>
              <a:p>
                <a:pPr>
                  <a:defRPr sz="11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grafy!$AD$11:$AW$11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grafy!$AD$12:$AW$12</c:f>
              <c:numCache>
                <c:formatCode>General</c:formatCode>
                <c:ptCount val="20"/>
                <c:pt idx="0">
                  <c:v>7058</c:v>
                </c:pt>
                <c:pt idx="1">
                  <c:v>6798</c:v>
                </c:pt>
                <c:pt idx="2">
                  <c:v>6036</c:v>
                </c:pt>
                <c:pt idx="3">
                  <c:v>5871</c:v>
                </c:pt>
                <c:pt idx="4">
                  <c:v>6069</c:v>
                </c:pt>
                <c:pt idx="5">
                  <c:v>6238</c:v>
                </c:pt>
                <c:pt idx="6">
                  <c:v>6584</c:v>
                </c:pt>
                <c:pt idx="7">
                  <c:v>6704</c:v>
                </c:pt>
                <c:pt idx="8">
                  <c:v>7724</c:v>
                </c:pt>
                <c:pt idx="9">
                  <c:v>7865</c:v>
                </c:pt>
                <c:pt idx="10">
                  <c:v>7395</c:v>
                </c:pt>
                <c:pt idx="11">
                  <c:v>8248</c:v>
                </c:pt>
                <c:pt idx="12">
                  <c:v>7376</c:v>
                </c:pt>
                <c:pt idx="13">
                  <c:v>7902</c:v>
                </c:pt>
                <c:pt idx="14">
                  <c:v>7098</c:v>
                </c:pt>
                <c:pt idx="15">
                  <c:v>7074</c:v>
                </c:pt>
                <c:pt idx="16">
                  <c:v>6551</c:v>
                </c:pt>
                <c:pt idx="17">
                  <c:v>7370</c:v>
                </c:pt>
                <c:pt idx="18">
                  <c:v>7132</c:v>
                </c:pt>
                <c:pt idx="19">
                  <c:v>5324</c:v>
                </c:pt>
              </c:numCache>
            </c:numRef>
          </c:val>
          <c:smooth val="0"/>
          <c:extLst>
            <c:ext xmlns:c16="http://schemas.microsoft.com/office/drawing/2014/chart" uri="{C3380CC4-5D6E-409C-BE32-E72D297353CC}">
              <c16:uniqueId val="{0000000F-1330-4425-9261-C6EE787DD4B2}"/>
            </c:ext>
          </c:extLst>
        </c:ser>
        <c:dLbls>
          <c:showLegendKey val="0"/>
          <c:showVal val="0"/>
          <c:showCatName val="0"/>
          <c:showSerName val="0"/>
          <c:showPercent val="0"/>
          <c:showBubbleSize val="0"/>
        </c:dLbls>
        <c:marker val="1"/>
        <c:smooth val="0"/>
        <c:axId val="109944832"/>
        <c:axId val="109946368"/>
      </c:lineChart>
      <c:catAx>
        <c:axId val="109944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200" b="0" i="0" u="none" strike="noStrike" baseline="0">
                <a:solidFill>
                  <a:srgbClr val="000000"/>
                </a:solidFill>
                <a:latin typeface="Arial"/>
                <a:ea typeface="Arial"/>
                <a:cs typeface="Arial"/>
              </a:defRPr>
            </a:pPr>
            <a:endParaRPr lang="cs-CZ"/>
          </a:p>
        </c:txPr>
        <c:crossAx val="109946368"/>
        <c:crossesAt val="5000"/>
        <c:auto val="1"/>
        <c:lblAlgn val="ctr"/>
        <c:lblOffset val="100"/>
        <c:tickLblSkip val="1"/>
        <c:tickMarkSkip val="1"/>
        <c:noMultiLvlLbl val="0"/>
      </c:catAx>
      <c:valAx>
        <c:axId val="109946368"/>
        <c:scaling>
          <c:orientation val="minMax"/>
          <c:max val="9000"/>
          <c:min val="5000"/>
        </c:scaling>
        <c:delete val="0"/>
        <c:axPos val="l"/>
        <c:title>
          <c:tx>
            <c:rich>
              <a:bodyPr/>
              <a:lstStyle/>
              <a:p>
                <a:pPr>
                  <a:defRPr sz="1200" b="1" i="0" u="none" strike="noStrike" baseline="0">
                    <a:solidFill>
                      <a:srgbClr val="000000"/>
                    </a:solidFill>
                    <a:latin typeface="Arial"/>
                    <a:ea typeface="Arial"/>
                    <a:cs typeface="Arial"/>
                  </a:defRPr>
                </a:pPr>
                <a:r>
                  <a:rPr lang="cs-CZ"/>
                  <a:t>spotřeba tis.tun</a:t>
                </a:r>
              </a:p>
            </c:rich>
          </c:tx>
          <c:layout>
            <c:manualLayout>
              <c:xMode val="edge"/>
              <c:yMode val="edge"/>
              <c:x val="8.517911370293731E-3"/>
              <c:y val="0.241486174001620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cs-CZ"/>
          </a:p>
        </c:txPr>
        <c:crossAx val="109944832"/>
        <c:crosses val="autoZero"/>
        <c:crossBetween val="between"/>
      </c:valAx>
      <c:spPr>
        <a:noFill/>
        <a:ln w="25400">
          <a:noFill/>
        </a:ln>
      </c:spPr>
    </c:plotArea>
    <c:plotVisOnly val="1"/>
    <c:dispBlanksAs val="zero"/>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CÍL82</b:Tag>
    <b:SourceType>Misc</b:SourceType>
    <b:Guid>{0BB54BF0-C85E-4951-92C4-D4E74AEAAA52}</b:Guid>
    <b:Author>
      <b:Author>
        <b:Corporate>CÍLEK, V., KAŠÍK, M.</b:Corporate>
      </b:Author>
    </b:Author>
    <b:Title>Nejistý plamen</b:Title>
    <b:Year>2008. ISBN 978-80-7363-218-2</b:Year>
    <b:City>Praha</b:City>
    <b:Publisher>2. vydání. Dokořán, s.r.o.</b:Publisher>
    <b:RefOrder>1</b:RefOrder>
  </b:Source>
  <b:Source>
    <b:Tag>Ropa</b:Tag>
    <b:SourceType>Book</b:SourceType>
    <b:Guid>{72D3060C-67B8-466D-997C-EEDC2DFBA45F}</b:Guid>
    <b:Year>http://aktualne.centrum.cz/zahranici/grafika/2010/08/31/vrty-na-ropu-jdou-do-cim-dal-vetsich-hloubek/?cid=684815</b:Year>
    <b:RefOrder>2</b:RefOrder>
  </b:Source>
  <b:Source>
    <b:Tag>Roopa</b:Tag>
    <b:SourceType>Book</b:SourceType>
    <b:Guid>{6F16F155-6B9C-40F0-B2A6-82018A6D20AB}</b:Guid>
    <b:Year>BP statistical_review_of_world_energy_full_report_2009</b:Year>
    <b:RefOrder>3</b:RefOrder>
  </b:Source>
  <b:Source>
    <b:Tag>ropa3</b:Tag>
    <b:SourceType>Book</b:SourceType>
    <b:Guid>{B5DB277D-5DB0-4C7E-9C95-9370053E26A7}</b:Guid>
    <b:Author>
      <b:Author>
        <b:Corporate>DUŠEK Luděk</b:Corporate>
      </b:Author>
    </b:Author>
    <b:Title>Stručná informace o statistice ropy a ropných produktů a čerpacích stanic za rok 2016</b:Title>
    <b:Year>2019</b:Year>
    <b:Publisher>MPO</b:Publisher>
    <b:RefOrder>6</b:RefOrder>
  </b:Source>
  <b:Source>
    <b:Tag>ropa</b:Tag>
    <b:SourceType>Book</b:SourceType>
    <b:Guid>{FAC3168C-EFC6-4022-B1AB-37910C388EE0}</b:Guid>
    <b:Year>http://www.mero.cz/</b:Year>
    <b:RefOrder>4</b:RefOrder>
  </b:Source>
  <b:Source>
    <b:Tag>Ropa4</b:Tag>
    <b:SourceType>Book</b:SourceType>
    <b:Guid>{DA7A193C-ADA7-46F6-BDE1-F992EB8718FB}</b:Guid>
    <b:Year>https://archiv.ihned.cz/c1-58809860-mero-cr-ziskava-vlastnicky-podil-na-ropovodu-tal</b:Year>
    <b:RefOrder>5</b:RefOrder>
  </b:Source>
</b:Sources>
</file>

<file path=customXml/itemProps1.xml><?xml version="1.0" encoding="utf-8"?>
<ds:datastoreItem xmlns:ds="http://schemas.openxmlformats.org/officeDocument/2006/customXml" ds:itemID="{FCF98456-3AB0-4F0F-9BAC-035B0812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5872</TotalTime>
  <Pages>1</Pages>
  <Words>4342</Words>
  <Characters>25619</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MOBILNÍ DÍLENSKÉ PROSTŘEDY NOVÉ GENERACE</vt:lpstr>
    </vt:vector>
  </TitlesOfParts>
  <Company>K105 UO</Company>
  <LinksUpToDate>false</LinksUpToDate>
  <CharactersWithSpaces>29902</CharactersWithSpaces>
  <SharedDoc>false</SharedDoc>
  <HLinks>
    <vt:vector size="150" baseType="variant">
      <vt:variant>
        <vt:i4>6553654</vt:i4>
      </vt:variant>
      <vt:variant>
        <vt:i4>84</vt:i4>
      </vt:variant>
      <vt:variant>
        <vt:i4>0</vt:i4>
      </vt:variant>
      <vt:variant>
        <vt:i4>5</vt:i4>
      </vt:variant>
      <vt:variant>
        <vt:lpwstr>http://cs.wikipedia.org/wiki/Al%C5%BE%C3%ADrsko</vt:lpwstr>
      </vt:variant>
      <vt:variant>
        <vt:lpwstr/>
      </vt:variant>
      <vt:variant>
        <vt:i4>7077933</vt:i4>
      </vt:variant>
      <vt:variant>
        <vt:i4>81</vt:i4>
      </vt:variant>
      <vt:variant>
        <vt:i4>0</vt:i4>
      </vt:variant>
      <vt:variant>
        <vt:i4>5</vt:i4>
      </vt:variant>
      <vt:variant>
        <vt:lpwstr>http://cs.wikipedia.org/wiki/Indon%C3%A9sie</vt:lpwstr>
      </vt:variant>
      <vt:variant>
        <vt:lpwstr/>
      </vt:variant>
      <vt:variant>
        <vt:i4>1245272</vt:i4>
      </vt:variant>
      <vt:variant>
        <vt:i4>78</vt:i4>
      </vt:variant>
      <vt:variant>
        <vt:i4>0</vt:i4>
      </vt:variant>
      <vt:variant>
        <vt:i4>5</vt:i4>
      </vt:variant>
      <vt:variant>
        <vt:lpwstr>http://cs.wikipedia.org/wiki/OPEC</vt:lpwstr>
      </vt:variant>
      <vt:variant>
        <vt:lpwstr/>
      </vt:variant>
      <vt:variant>
        <vt:i4>6750244</vt:i4>
      </vt:variant>
      <vt:variant>
        <vt:i4>75</vt:i4>
      </vt:variant>
      <vt:variant>
        <vt:i4>0</vt:i4>
      </vt:variant>
      <vt:variant>
        <vt:i4>5</vt:i4>
      </vt:variant>
      <vt:variant>
        <vt:lpwstr>http://cs.wikipedia.org/wiki/Mexiko</vt:lpwstr>
      </vt:variant>
      <vt:variant>
        <vt:lpwstr/>
      </vt:variant>
      <vt:variant>
        <vt:i4>4390928</vt:i4>
      </vt:variant>
      <vt:variant>
        <vt:i4>72</vt:i4>
      </vt:variant>
      <vt:variant>
        <vt:i4>0</vt:i4>
      </vt:variant>
      <vt:variant>
        <vt:i4>5</vt:i4>
      </vt:variant>
      <vt:variant>
        <vt:lpwstr>http://cs.wikipedia.org/wiki/Spojen%C3%A9_arabsk%C3%A9_emir%C3%A1ty</vt:lpwstr>
      </vt:variant>
      <vt:variant>
        <vt:lpwstr/>
      </vt:variant>
      <vt:variant>
        <vt:i4>393284</vt:i4>
      </vt:variant>
      <vt:variant>
        <vt:i4>69</vt:i4>
      </vt:variant>
      <vt:variant>
        <vt:i4>0</vt:i4>
      </vt:variant>
      <vt:variant>
        <vt:i4>5</vt:i4>
      </vt:variant>
      <vt:variant>
        <vt:lpwstr>http://cs.wikipedia.org/wiki/Nig%C3%A9rie</vt:lpwstr>
      </vt:variant>
      <vt:variant>
        <vt:lpwstr/>
      </vt:variant>
      <vt:variant>
        <vt:i4>7798873</vt:i4>
      </vt:variant>
      <vt:variant>
        <vt:i4>66</vt:i4>
      </vt:variant>
      <vt:variant>
        <vt:i4>0</vt:i4>
      </vt:variant>
      <vt:variant>
        <vt:i4>5</vt:i4>
      </vt:variant>
      <vt:variant>
        <vt:lpwstr>http://cs.wikipedia.org/wiki/Sa%C3%BAdsk%C3%A1_Ar%C3%A1bie</vt:lpwstr>
      </vt:variant>
      <vt:variant>
        <vt:lpwstr/>
      </vt:variant>
      <vt:variant>
        <vt:i4>7077933</vt:i4>
      </vt:variant>
      <vt:variant>
        <vt:i4>63</vt:i4>
      </vt:variant>
      <vt:variant>
        <vt:i4>0</vt:i4>
      </vt:variant>
      <vt:variant>
        <vt:i4>5</vt:i4>
      </vt:variant>
      <vt:variant>
        <vt:lpwstr>http://cs.wikipedia.org/wiki/Indon%C3%A9sie</vt:lpwstr>
      </vt:variant>
      <vt:variant>
        <vt:lpwstr/>
      </vt:variant>
      <vt:variant>
        <vt:i4>1966176</vt:i4>
      </vt:variant>
      <vt:variant>
        <vt:i4>60</vt:i4>
      </vt:variant>
      <vt:variant>
        <vt:i4>0</vt:i4>
      </vt:variant>
      <vt:variant>
        <vt:i4>5</vt:i4>
      </vt:variant>
      <vt:variant>
        <vt:lpwstr>http://cs.wikipedia.org/wiki/D%C3%A1ln%C3%BD_v%C3%BDchod</vt:lpwstr>
      </vt:variant>
      <vt:variant>
        <vt:lpwstr/>
      </vt:variant>
      <vt:variant>
        <vt:i4>1769563</vt:i4>
      </vt:variant>
      <vt:variant>
        <vt:i4>57</vt:i4>
      </vt:variant>
      <vt:variant>
        <vt:i4>0</vt:i4>
      </vt:variant>
      <vt:variant>
        <vt:i4>5</vt:i4>
      </vt:variant>
      <vt:variant>
        <vt:lpwstr>http://cs.wikipedia.org/wiki/Malajsie</vt:lpwstr>
      </vt:variant>
      <vt:variant>
        <vt:lpwstr/>
      </vt:variant>
      <vt:variant>
        <vt:i4>7471149</vt:i4>
      </vt:variant>
      <vt:variant>
        <vt:i4>36</vt:i4>
      </vt:variant>
      <vt:variant>
        <vt:i4>0</vt:i4>
      </vt:variant>
      <vt:variant>
        <vt:i4>5</vt:i4>
      </vt:variant>
      <vt:variant>
        <vt:lpwstr>http://www.eia.doe.gov/basics/quickoil.html</vt:lpwstr>
      </vt:variant>
      <vt:variant>
        <vt:lpwstr/>
      </vt:variant>
      <vt:variant>
        <vt:i4>7209068</vt:i4>
      </vt:variant>
      <vt:variant>
        <vt:i4>33</vt:i4>
      </vt:variant>
      <vt:variant>
        <vt:i4>0</vt:i4>
      </vt:variant>
      <vt:variant>
        <vt:i4>5</vt:i4>
      </vt:variant>
      <vt:variant>
        <vt:lpwstr>http://www.merocr.eu/files/ropa_ropa_ropa.pdf</vt:lpwstr>
      </vt:variant>
      <vt:variant>
        <vt:lpwstr/>
      </vt:variant>
      <vt:variant>
        <vt:i4>5832794</vt:i4>
      </vt:variant>
      <vt:variant>
        <vt:i4>30</vt:i4>
      </vt:variant>
      <vt:variant>
        <vt:i4>0</vt:i4>
      </vt:variant>
      <vt:variant>
        <vt:i4>5</vt:i4>
      </vt:variant>
      <vt:variant>
        <vt:lpwstr>http://www.reflex.cz/Clanek30244.html</vt:lpwstr>
      </vt:variant>
      <vt:variant>
        <vt:lpwstr/>
      </vt:variant>
      <vt:variant>
        <vt:i4>786777</vt:i4>
      </vt:variant>
      <vt:variant>
        <vt:i4>27</vt:i4>
      </vt:variant>
      <vt:variant>
        <vt:i4>0</vt:i4>
      </vt:variant>
      <vt:variant>
        <vt:i4>5</vt:i4>
      </vt:variant>
      <vt:variant>
        <vt:lpwstr/>
      </vt:variant>
      <vt:variant>
        <vt:lpwstr>_Ropa_v_České</vt:lpwstr>
      </vt:variant>
      <vt:variant>
        <vt:i4>5898354</vt:i4>
      </vt:variant>
      <vt:variant>
        <vt:i4>24</vt:i4>
      </vt:variant>
      <vt:variant>
        <vt:i4>0</vt:i4>
      </vt:variant>
      <vt:variant>
        <vt:i4>5</vt:i4>
      </vt:variant>
      <vt:variant>
        <vt:lpwstr/>
      </vt:variant>
      <vt:variant>
        <vt:lpwstr>_Dovoz_ropy_do</vt:lpwstr>
      </vt:variant>
      <vt:variant>
        <vt:i4>26214669</vt:i4>
      </vt:variant>
      <vt:variant>
        <vt:i4>21</vt:i4>
      </vt:variant>
      <vt:variant>
        <vt:i4>0</vt:i4>
      </vt:variant>
      <vt:variant>
        <vt:i4>5</vt:i4>
      </vt:variant>
      <vt:variant>
        <vt:lpwstr/>
      </vt:variant>
      <vt:variant>
        <vt:lpwstr>_Scénáře_ropného_šoku</vt:lpwstr>
      </vt:variant>
      <vt:variant>
        <vt:i4>8716315</vt:i4>
      </vt:variant>
      <vt:variant>
        <vt:i4>18</vt:i4>
      </vt:variant>
      <vt:variant>
        <vt:i4>0</vt:i4>
      </vt:variant>
      <vt:variant>
        <vt:i4>5</vt:i4>
      </vt:variant>
      <vt:variant>
        <vt:lpwstr/>
      </vt:variant>
      <vt:variant>
        <vt:lpwstr>_Ropný_vrchol</vt:lpwstr>
      </vt:variant>
      <vt:variant>
        <vt:i4>31653996</vt:i4>
      </vt:variant>
      <vt:variant>
        <vt:i4>15</vt:i4>
      </vt:variant>
      <vt:variant>
        <vt:i4>0</vt:i4>
      </vt:variant>
      <vt:variant>
        <vt:i4>5</vt:i4>
      </vt:variant>
      <vt:variant>
        <vt:lpwstr/>
      </vt:variant>
      <vt:variant>
        <vt:lpwstr>_Ropná_ložiska</vt:lpwstr>
      </vt:variant>
      <vt:variant>
        <vt:i4>31653996</vt:i4>
      </vt:variant>
      <vt:variant>
        <vt:i4>12</vt:i4>
      </vt:variant>
      <vt:variant>
        <vt:i4>0</vt:i4>
      </vt:variant>
      <vt:variant>
        <vt:i4>5</vt:i4>
      </vt:variant>
      <vt:variant>
        <vt:lpwstr/>
      </vt:variant>
      <vt:variant>
        <vt:lpwstr>_Ropná_ložiska</vt:lpwstr>
      </vt:variant>
      <vt:variant>
        <vt:i4>23658774</vt:i4>
      </vt:variant>
      <vt:variant>
        <vt:i4>9</vt:i4>
      </vt:variant>
      <vt:variant>
        <vt:i4>0</vt:i4>
      </vt:variant>
      <vt:variant>
        <vt:i4>5</vt:i4>
      </vt:variant>
      <vt:variant>
        <vt:lpwstr/>
      </vt:variant>
      <vt:variant>
        <vt:lpwstr>_Těžba_ropy</vt:lpwstr>
      </vt:variant>
      <vt:variant>
        <vt:i4>6946933</vt:i4>
      </vt:variant>
      <vt:variant>
        <vt:i4>6</vt:i4>
      </vt:variant>
      <vt:variant>
        <vt:i4>0</vt:i4>
      </vt:variant>
      <vt:variant>
        <vt:i4>5</vt:i4>
      </vt:variant>
      <vt:variant>
        <vt:lpwstr/>
      </vt:variant>
      <vt:variant>
        <vt:lpwstr>_Druhy_ropy</vt:lpwstr>
      </vt:variant>
      <vt:variant>
        <vt:i4>9830675</vt:i4>
      </vt:variant>
      <vt:variant>
        <vt:i4>3</vt:i4>
      </vt:variant>
      <vt:variant>
        <vt:i4>0</vt:i4>
      </vt:variant>
      <vt:variant>
        <vt:i4>5</vt:i4>
      </vt:variant>
      <vt:variant>
        <vt:lpwstr/>
      </vt:variant>
      <vt:variant>
        <vt:lpwstr>_Složení_ropy</vt:lpwstr>
      </vt:variant>
      <vt:variant>
        <vt:i4>7405692</vt:i4>
      </vt:variant>
      <vt:variant>
        <vt:i4>0</vt:i4>
      </vt:variant>
      <vt:variant>
        <vt:i4>0</vt:i4>
      </vt:variant>
      <vt:variant>
        <vt:i4>5</vt:i4>
      </vt:variant>
      <vt:variant>
        <vt:lpwstr/>
      </vt:variant>
      <vt:variant>
        <vt:lpwstr>_Vznik_ropy</vt:lpwstr>
      </vt:variant>
      <vt:variant>
        <vt:i4>1703937</vt:i4>
      </vt:variant>
      <vt:variant>
        <vt:i4>0</vt:i4>
      </vt:variant>
      <vt:variant>
        <vt:i4>0</vt:i4>
      </vt:variant>
      <vt:variant>
        <vt:i4>5</vt:i4>
      </vt:variant>
      <vt:variant>
        <vt:lpwstr>http://aktualne.centrum.cz/zahranici/grafika/2010/08/31/vrty-na-ropu-jdou-do-cim-dal-vetsich-hloubek/?cid=684815</vt:lpwstr>
      </vt:variant>
      <vt:variant>
        <vt:lpwstr/>
      </vt:variant>
      <vt:variant>
        <vt:i4>1835043</vt:i4>
      </vt:variant>
      <vt:variant>
        <vt:i4>-1</vt:i4>
      </vt:variant>
      <vt:variant>
        <vt:i4>1686</vt:i4>
      </vt:variant>
      <vt:variant>
        <vt:i4>1</vt:i4>
      </vt:variant>
      <vt:variant>
        <vt:lpwstr>http://www.simopt.cz/energyweb/web/EE/images/02/21_07.gif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MOBILNÍ DÍLENSKÉ PROSTŘEDY NOVÉ GENERACE</dc:title>
  <dc:subject/>
  <dc:creator>K105MAR</dc:creator>
  <cp:keywords/>
  <dc:description/>
  <cp:lastModifiedBy>Zajíček Václav</cp:lastModifiedBy>
  <cp:revision>9</cp:revision>
  <cp:lastPrinted>2008-10-10T07:15:00Z</cp:lastPrinted>
  <dcterms:created xsi:type="dcterms:W3CDTF">2018-01-24T09:40:00Z</dcterms:created>
  <dcterms:modified xsi:type="dcterms:W3CDTF">2018-04-04T12:43:00Z</dcterms:modified>
</cp:coreProperties>
</file>