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DE174A" w:rsidRDefault="001414A4" w:rsidP="00FE47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DE174A" w:rsidRPr="00DE174A">
        <w:rPr>
          <w:rFonts w:ascii="Times New Roman" w:hAnsi="Times New Roman"/>
          <w:b/>
          <w:sz w:val="24"/>
          <w:szCs w:val="24"/>
        </w:rPr>
        <w:t>Průběh řízení v prvním stupni.</w:t>
      </w:r>
    </w:p>
    <w:p w:rsidR="001414A4" w:rsidRPr="00297E90" w:rsidRDefault="001414A4" w:rsidP="00940D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6054B5">
        <w:rPr>
          <w:rFonts w:ascii="Times New Roman" w:hAnsi="Times New Roman"/>
          <w:sz w:val="24"/>
          <w:szCs w:val="24"/>
        </w:rPr>
        <w:t> </w:t>
      </w:r>
      <w:r w:rsidR="00940D9C">
        <w:rPr>
          <w:rFonts w:ascii="Times New Roman" w:hAnsi="Times New Roman"/>
          <w:sz w:val="24"/>
          <w:szCs w:val="24"/>
        </w:rPr>
        <w:t>průběhem správního řízení</w:t>
      </w:r>
      <w:r w:rsidR="00CD3BBD">
        <w:rPr>
          <w:rFonts w:ascii="Times New Roman" w:hAnsi="Times New Roman"/>
          <w:sz w:val="24"/>
          <w:szCs w:val="24"/>
        </w:rPr>
        <w:t>.</w:t>
      </w:r>
      <w:r w:rsidR="002D2E62" w:rsidRPr="00236B33">
        <w:rPr>
          <w:rFonts w:ascii="Times New Roman" w:hAnsi="Times New Roman"/>
          <w:sz w:val="24"/>
          <w:szCs w:val="24"/>
        </w:rPr>
        <w:t xml:space="preserve"> Studenti si prohloubí znalosti </w:t>
      </w:r>
      <w:r w:rsidR="00940D9C">
        <w:rPr>
          <w:rFonts w:ascii="Times New Roman" w:hAnsi="Times New Roman"/>
          <w:sz w:val="24"/>
          <w:szCs w:val="24"/>
        </w:rPr>
        <w:t>v oblasti základním právních institutů využívaných v průběhu správního řízení, jako např. vedení řízení, doručování či dokazování</w:t>
      </w:r>
      <w:r w:rsidR="005D6E7F">
        <w:rPr>
          <w:rFonts w:ascii="Times New Roman" w:hAnsi="Times New Roman"/>
          <w:sz w:val="24"/>
          <w:szCs w:val="24"/>
        </w:rPr>
        <w:t>.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940D9C" w:rsidRPr="00D67DB2" w:rsidRDefault="00940D9C" w:rsidP="00E8263B">
      <w:pPr>
        <w:jc w:val="both"/>
        <w:rPr>
          <w:rFonts w:ascii="Times New Roman" w:hAnsi="Times New Roman"/>
          <w:sz w:val="24"/>
          <w:szCs w:val="24"/>
        </w:rPr>
      </w:pPr>
      <w:r w:rsidRPr="00D67DB2">
        <w:rPr>
          <w:rFonts w:ascii="Times New Roman" w:hAnsi="Times New Roman"/>
          <w:sz w:val="24"/>
          <w:szCs w:val="24"/>
        </w:rPr>
        <w:t>K čemu slouží ve správním řízení lhůty?</w:t>
      </w:r>
    </w:p>
    <w:p w:rsidR="00940D9C" w:rsidRPr="00D67DB2" w:rsidRDefault="00940D9C" w:rsidP="00E8263B">
      <w:pPr>
        <w:jc w:val="both"/>
        <w:rPr>
          <w:rFonts w:ascii="Times New Roman" w:hAnsi="Times New Roman"/>
          <w:sz w:val="24"/>
          <w:szCs w:val="24"/>
        </w:rPr>
      </w:pPr>
      <w:r w:rsidRPr="00D67DB2">
        <w:rPr>
          <w:rFonts w:ascii="Times New Roman" w:hAnsi="Times New Roman"/>
          <w:sz w:val="24"/>
          <w:szCs w:val="24"/>
        </w:rPr>
        <w:t>Jaká platí pravidla pro počítání času ve správním řízení.</w:t>
      </w:r>
    </w:p>
    <w:p w:rsidR="00940D9C" w:rsidRPr="00D67DB2" w:rsidRDefault="00940D9C" w:rsidP="00E8263B">
      <w:pPr>
        <w:jc w:val="both"/>
        <w:rPr>
          <w:rFonts w:ascii="Times New Roman" w:hAnsi="Times New Roman"/>
          <w:sz w:val="24"/>
          <w:szCs w:val="24"/>
        </w:rPr>
      </w:pPr>
      <w:r w:rsidRPr="00D67DB2">
        <w:rPr>
          <w:rFonts w:ascii="Times New Roman" w:hAnsi="Times New Roman"/>
          <w:sz w:val="24"/>
          <w:szCs w:val="24"/>
        </w:rPr>
        <w:t>Uveďte konkrétní příklady důkazních prostředků ve správním řízení.</w:t>
      </w:r>
    </w:p>
    <w:p w:rsidR="005F77ED" w:rsidRDefault="00FB7D21" w:rsidP="005B263D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5D6E7F" w:rsidRDefault="005D6E7F" w:rsidP="005D6E7F">
      <w:pPr>
        <w:jc w:val="both"/>
        <w:rPr>
          <w:rFonts w:ascii="Times New Roman" w:hAnsi="Times New Roman"/>
          <w:sz w:val="24"/>
          <w:szCs w:val="24"/>
        </w:rPr>
      </w:pPr>
      <w:r w:rsidRPr="005D6E7F">
        <w:rPr>
          <w:rFonts w:ascii="Times New Roman" w:hAnsi="Times New Roman"/>
          <w:sz w:val="24"/>
          <w:szCs w:val="24"/>
        </w:rPr>
        <w:t xml:space="preserve">PRŮCHA, Petr. </w:t>
      </w:r>
      <w:r w:rsidRPr="005D6E7F">
        <w:rPr>
          <w:rFonts w:ascii="Times New Roman" w:hAnsi="Times New Roman"/>
          <w:i/>
          <w:sz w:val="24"/>
          <w:szCs w:val="24"/>
        </w:rPr>
        <w:t>Správní řád: s poznámkami a judikaturou: podle stavu k 1. 7. 2017.</w:t>
      </w:r>
      <w:r>
        <w:rPr>
          <w:rFonts w:ascii="Times New Roman" w:hAnsi="Times New Roman"/>
          <w:sz w:val="24"/>
          <w:szCs w:val="24"/>
        </w:rPr>
        <w:t xml:space="preserve"> 3. </w:t>
      </w:r>
      <w:r w:rsidRPr="005D6E7F">
        <w:rPr>
          <w:rFonts w:ascii="Times New Roman" w:hAnsi="Times New Roman"/>
          <w:sz w:val="24"/>
          <w:szCs w:val="24"/>
        </w:rPr>
        <w:t xml:space="preserve">aktualizované a doplněné vydání. Praha: </w:t>
      </w:r>
      <w:proofErr w:type="spellStart"/>
      <w:r w:rsidRPr="005D6E7F">
        <w:rPr>
          <w:rFonts w:ascii="Times New Roman" w:hAnsi="Times New Roman"/>
          <w:sz w:val="24"/>
          <w:szCs w:val="24"/>
        </w:rPr>
        <w:t>Leges</w:t>
      </w:r>
      <w:proofErr w:type="spellEnd"/>
      <w:r w:rsidRPr="005D6E7F">
        <w:rPr>
          <w:rFonts w:ascii="Times New Roman" w:hAnsi="Times New Roman"/>
          <w:sz w:val="24"/>
          <w:szCs w:val="24"/>
        </w:rPr>
        <w:t>, 2017. Glosátor. ISBN 978-80-7502-202-8.</w:t>
      </w:r>
    </w:p>
    <w:p w:rsidR="0091449A" w:rsidRPr="0091449A" w:rsidRDefault="0091449A" w:rsidP="00914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5D6E7F" w:rsidRDefault="005D6E7F" w:rsidP="005F77ED">
      <w:pPr>
        <w:jc w:val="both"/>
        <w:rPr>
          <w:rFonts w:ascii="Times New Roman" w:hAnsi="Times New Roman"/>
          <w:sz w:val="24"/>
          <w:szCs w:val="24"/>
        </w:rPr>
      </w:pPr>
      <w:r w:rsidRPr="005D6E7F">
        <w:rPr>
          <w:rFonts w:ascii="Times New Roman" w:hAnsi="Times New Roman"/>
          <w:sz w:val="24"/>
          <w:szCs w:val="24"/>
        </w:rPr>
        <w:t xml:space="preserve">SKULOVÁ, Soňa. </w:t>
      </w:r>
      <w:r w:rsidRPr="005D6E7F">
        <w:rPr>
          <w:rFonts w:ascii="Times New Roman" w:hAnsi="Times New Roman"/>
          <w:i/>
          <w:sz w:val="24"/>
          <w:szCs w:val="24"/>
        </w:rPr>
        <w:t>Správní právo procesní.</w:t>
      </w:r>
      <w:r w:rsidRPr="005D6E7F">
        <w:rPr>
          <w:rFonts w:ascii="Times New Roman" w:hAnsi="Times New Roman"/>
          <w:sz w:val="24"/>
          <w:szCs w:val="24"/>
        </w:rPr>
        <w:t xml:space="preserve"> 3. aktualizované a doplněné vydání. Plzeň: Vydavatelství a nakladatelství Aleš Čeněk, 2017. ISBN 978-80-7380-688-0.</w:t>
      </w:r>
    </w:p>
    <w:p w:rsidR="005D6E7F" w:rsidRDefault="005D6E7F" w:rsidP="005F77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500/2004 Sb., správní řád, ve znění pozdějších předpisů.</w:t>
      </w:r>
    </w:p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DE174A" w:rsidRP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Úvod</w:t>
      </w:r>
    </w:p>
    <w:p w:rsidR="00DE174A" w:rsidRP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1. Vedení řízení a úkony správních orgánů</w:t>
      </w:r>
    </w:p>
    <w:p w:rsidR="00DE174A" w:rsidRP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2. Doručování</w:t>
      </w:r>
    </w:p>
    <w:p w:rsidR="00DE174A" w:rsidRP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3. Lhůty a počítání času</w:t>
      </w:r>
    </w:p>
    <w:p w:rsidR="00DE174A" w:rsidRP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4. Podklady pro vydání rozhodnutí</w:t>
      </w:r>
    </w:p>
    <w:p w:rsidR="00DE174A" w:rsidRP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5. Zajištění účelu a průběhu řízení</w:t>
      </w:r>
    </w:p>
    <w:p w:rsidR="00DE174A" w:rsidRP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6. Přerušení řízení a zastavení řízení</w:t>
      </w:r>
    </w:p>
    <w:p w:rsidR="00C47EE0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Závěr</w:t>
      </w:r>
    </w:p>
    <w:p w:rsid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</w:p>
    <w:p w:rsidR="00D67DB2" w:rsidRDefault="00D67DB2" w:rsidP="00DE174A">
      <w:pPr>
        <w:jc w:val="both"/>
        <w:rPr>
          <w:rFonts w:ascii="Times New Roman" w:hAnsi="Times New Roman"/>
          <w:sz w:val="24"/>
          <w:szCs w:val="24"/>
        </w:rPr>
      </w:pPr>
    </w:p>
    <w:p w:rsidR="00D67DB2" w:rsidRDefault="00D67DB2" w:rsidP="00DE174A">
      <w:pPr>
        <w:jc w:val="both"/>
        <w:rPr>
          <w:rFonts w:ascii="Times New Roman" w:hAnsi="Times New Roman"/>
          <w:sz w:val="24"/>
          <w:szCs w:val="24"/>
        </w:rPr>
      </w:pPr>
    </w:p>
    <w:p w:rsid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lastRenderedPageBreak/>
        <w:t>Úvod</w:t>
      </w:r>
    </w:p>
    <w:p w:rsid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 xml:space="preserve">V celém průběhu správního řízení se uplatňují některé důležité </w:t>
      </w:r>
      <w:proofErr w:type="spellStart"/>
      <w:r w:rsidRPr="00DE174A">
        <w:rPr>
          <w:rFonts w:ascii="Times New Roman" w:hAnsi="Times New Roman"/>
          <w:sz w:val="24"/>
          <w:szCs w:val="24"/>
        </w:rPr>
        <w:t>procesněprávní</w:t>
      </w:r>
      <w:proofErr w:type="spellEnd"/>
      <w:r w:rsidRPr="00DE174A">
        <w:rPr>
          <w:rFonts w:ascii="Times New Roman" w:hAnsi="Times New Roman"/>
          <w:sz w:val="24"/>
          <w:szCs w:val="24"/>
        </w:rPr>
        <w:t xml:space="preserve"> instituty, které významně regulují postup správního orgánu nebo účastníka řízení</w:t>
      </w:r>
      <w:r w:rsidR="00D67DB2">
        <w:rPr>
          <w:rFonts w:ascii="Times New Roman" w:hAnsi="Times New Roman"/>
          <w:sz w:val="24"/>
          <w:szCs w:val="24"/>
        </w:rPr>
        <w:t>, např. spis (§ 17), protokol (§ 18), doručování (§19 - § 25), úřední deska (§ 26), p</w:t>
      </w:r>
      <w:r w:rsidRPr="00DE174A">
        <w:rPr>
          <w:rFonts w:ascii="Times New Roman" w:hAnsi="Times New Roman"/>
          <w:sz w:val="24"/>
          <w:szCs w:val="24"/>
        </w:rPr>
        <w:t>odání ve správním řízení (§ 37)</w:t>
      </w:r>
      <w:r w:rsidR="00D67DB2">
        <w:rPr>
          <w:rFonts w:ascii="Times New Roman" w:hAnsi="Times New Roman"/>
          <w:sz w:val="24"/>
          <w:szCs w:val="24"/>
        </w:rPr>
        <w:t>, nahlížení do spisu (§ 38), l</w:t>
      </w:r>
      <w:r w:rsidRPr="00DE174A">
        <w:rPr>
          <w:rFonts w:ascii="Times New Roman" w:hAnsi="Times New Roman"/>
          <w:sz w:val="24"/>
          <w:szCs w:val="24"/>
        </w:rPr>
        <w:t>hůt</w:t>
      </w:r>
      <w:r w:rsidR="00D67DB2">
        <w:rPr>
          <w:rFonts w:ascii="Times New Roman" w:hAnsi="Times New Roman"/>
          <w:sz w:val="24"/>
          <w:szCs w:val="24"/>
        </w:rPr>
        <w:t>y a počítání času (§ 39 a § 40), odložení věci (§ 43), překážky řízení (§ 48), ústní jednání (§ 49), přerušení řízení (§ 64 a § 65) či z</w:t>
      </w:r>
      <w:r w:rsidRPr="00DE174A">
        <w:rPr>
          <w:rFonts w:ascii="Times New Roman" w:hAnsi="Times New Roman"/>
          <w:sz w:val="24"/>
          <w:szCs w:val="24"/>
        </w:rPr>
        <w:t>astavení řízení (§ 66)</w:t>
      </w:r>
      <w:r w:rsidR="00D67DB2">
        <w:rPr>
          <w:rFonts w:ascii="Times New Roman" w:hAnsi="Times New Roman"/>
          <w:sz w:val="24"/>
          <w:szCs w:val="24"/>
        </w:rPr>
        <w:t>.</w:t>
      </w:r>
    </w:p>
    <w:p w:rsidR="00DE174A" w:rsidRP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</w:p>
    <w:p w:rsidR="00DE174A" w:rsidRP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1. Vedení řízení a úkony správních orgánů</w:t>
      </w:r>
    </w:p>
    <w:p w:rsidR="00DB64A5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Jednotlivé ú</w:t>
      </w:r>
      <w:r w:rsidRPr="00DB64A5">
        <w:rPr>
          <w:rFonts w:ascii="Times New Roman" w:hAnsi="Times New Roman"/>
          <w:b/>
          <w:sz w:val="24"/>
          <w:szCs w:val="24"/>
        </w:rPr>
        <w:t>kony</w:t>
      </w:r>
      <w:r w:rsidRPr="00DE174A">
        <w:rPr>
          <w:rFonts w:ascii="Times New Roman" w:hAnsi="Times New Roman"/>
          <w:sz w:val="24"/>
          <w:szCs w:val="24"/>
        </w:rPr>
        <w:t xml:space="preserve"> v řízení se činí písemně, pokud zákon nestanoví jinak nebo po</w:t>
      </w:r>
      <w:r w:rsidR="00D67DB2">
        <w:rPr>
          <w:rFonts w:ascii="Times New Roman" w:hAnsi="Times New Roman"/>
          <w:sz w:val="24"/>
          <w:szCs w:val="24"/>
        </w:rPr>
        <w:t xml:space="preserve">kud to nevylučuje povaha věci.  </w:t>
      </w:r>
      <w:r w:rsidRPr="00DE174A">
        <w:rPr>
          <w:rFonts w:ascii="Times New Roman" w:hAnsi="Times New Roman"/>
          <w:sz w:val="24"/>
          <w:szCs w:val="24"/>
        </w:rPr>
        <w:t>Jednotlivé sdělení v průběhu řízení lze vůči přítomnému účastníku řízení učinit ústně, poku</w:t>
      </w:r>
      <w:r w:rsidR="00D67DB2">
        <w:rPr>
          <w:rFonts w:ascii="Times New Roman" w:hAnsi="Times New Roman"/>
          <w:sz w:val="24"/>
          <w:szCs w:val="24"/>
        </w:rPr>
        <w:t xml:space="preserve">d ten na písemné formě netrvá. </w:t>
      </w:r>
      <w:r w:rsidRPr="00DE174A">
        <w:rPr>
          <w:rFonts w:ascii="Times New Roman" w:hAnsi="Times New Roman"/>
          <w:sz w:val="24"/>
          <w:szCs w:val="24"/>
        </w:rPr>
        <w:t>Obsah úkonů prováděných jinou než písemnou formou se poznamená do s</w:t>
      </w:r>
      <w:r w:rsidR="00D67DB2">
        <w:rPr>
          <w:rFonts w:ascii="Times New Roman" w:hAnsi="Times New Roman"/>
          <w:sz w:val="24"/>
          <w:szCs w:val="24"/>
        </w:rPr>
        <w:t xml:space="preserve">pisu, nestanoví-li zákon jinak. </w:t>
      </w:r>
    </w:p>
    <w:p w:rsid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 xml:space="preserve">Úkony správního orgánu v řízení provádějí </w:t>
      </w:r>
      <w:r w:rsidRPr="00DB64A5">
        <w:rPr>
          <w:rFonts w:ascii="Times New Roman" w:hAnsi="Times New Roman"/>
          <w:b/>
          <w:sz w:val="24"/>
          <w:szCs w:val="24"/>
        </w:rPr>
        <w:t>úřední osoby</w:t>
      </w:r>
      <w:r w:rsidRPr="00DE174A">
        <w:rPr>
          <w:rFonts w:ascii="Times New Roman" w:hAnsi="Times New Roman"/>
          <w:sz w:val="24"/>
          <w:szCs w:val="24"/>
        </w:rPr>
        <w:t xml:space="preserve"> oprávněné k tomu podle vnitřních předpisů správního orgánu nebo pověřené vedoucím správního orgánu (dále jen "oprávněné úředn</w:t>
      </w:r>
      <w:r w:rsidR="00D67DB2">
        <w:rPr>
          <w:rFonts w:ascii="Times New Roman" w:hAnsi="Times New Roman"/>
          <w:sz w:val="24"/>
          <w:szCs w:val="24"/>
        </w:rPr>
        <w:t xml:space="preserve">í osoby"). </w:t>
      </w:r>
      <w:r w:rsidRPr="00DE174A">
        <w:rPr>
          <w:rFonts w:ascii="Times New Roman" w:hAnsi="Times New Roman"/>
          <w:sz w:val="24"/>
          <w:szCs w:val="24"/>
        </w:rPr>
        <w:t>Oprávněné úřední osoby jsou p</w:t>
      </w:r>
      <w:r w:rsidR="00DB64A5">
        <w:rPr>
          <w:rFonts w:ascii="Times New Roman" w:hAnsi="Times New Roman"/>
          <w:sz w:val="24"/>
          <w:szCs w:val="24"/>
        </w:rPr>
        <w:t>ovinny zachovávat mlčenlivost o </w:t>
      </w:r>
      <w:bookmarkStart w:id="0" w:name="_GoBack"/>
      <w:bookmarkEnd w:id="0"/>
      <w:r w:rsidRPr="00DE174A">
        <w:rPr>
          <w:rFonts w:ascii="Times New Roman" w:hAnsi="Times New Roman"/>
          <w:sz w:val="24"/>
          <w:szCs w:val="24"/>
        </w:rPr>
        <w:t>skutečnostech, o kterých se dozvěděly v souvislosti s řízením a které v zájmu zajištění řádného výkonu veřejné správy nebo v zájmu jiných osob</w:t>
      </w:r>
      <w:r>
        <w:rPr>
          <w:rFonts w:ascii="Times New Roman" w:hAnsi="Times New Roman"/>
          <w:sz w:val="24"/>
          <w:szCs w:val="24"/>
        </w:rPr>
        <w:t xml:space="preserve"> vyžadují, aby zůstaly utajeny.</w:t>
      </w:r>
    </w:p>
    <w:p w:rsid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 xml:space="preserve">V řízení se jedná a písemnosti se vyhotovují v </w:t>
      </w:r>
      <w:r w:rsidRPr="00DB64A5">
        <w:rPr>
          <w:rFonts w:ascii="Times New Roman" w:hAnsi="Times New Roman"/>
          <w:b/>
          <w:sz w:val="24"/>
          <w:szCs w:val="24"/>
        </w:rPr>
        <w:t>českém jazyce.</w:t>
      </w:r>
      <w:r w:rsidRPr="00DE174A">
        <w:rPr>
          <w:rFonts w:ascii="Times New Roman" w:hAnsi="Times New Roman"/>
          <w:sz w:val="24"/>
          <w:szCs w:val="24"/>
        </w:rPr>
        <w:t xml:space="preserve"> Účastníci řízení mohou jednat a písemnosti mohou být předkládány i v </w:t>
      </w:r>
      <w:r w:rsidRPr="00DB64A5">
        <w:rPr>
          <w:rFonts w:ascii="Times New Roman" w:hAnsi="Times New Roman"/>
          <w:b/>
          <w:sz w:val="24"/>
          <w:szCs w:val="24"/>
        </w:rPr>
        <w:t>jazyce slovenském</w:t>
      </w:r>
      <w:r w:rsidRPr="00DE174A">
        <w:rPr>
          <w:rFonts w:ascii="Times New Roman" w:hAnsi="Times New Roman"/>
          <w:sz w:val="24"/>
          <w:szCs w:val="24"/>
        </w:rPr>
        <w:t>.</w:t>
      </w:r>
    </w:p>
    <w:p w:rsidR="00DE174A" w:rsidRDefault="00D67DB2" w:rsidP="00DE17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každé věci se zakládá </w:t>
      </w:r>
      <w:r w:rsidRPr="00DB64A5">
        <w:rPr>
          <w:rFonts w:ascii="Times New Roman" w:hAnsi="Times New Roman"/>
          <w:b/>
          <w:sz w:val="24"/>
          <w:szCs w:val="24"/>
        </w:rPr>
        <w:t xml:space="preserve">spis. </w:t>
      </w:r>
      <w:r w:rsidR="00DE174A" w:rsidRPr="00DE174A">
        <w:rPr>
          <w:rFonts w:ascii="Times New Roman" w:hAnsi="Times New Roman"/>
          <w:sz w:val="24"/>
          <w:szCs w:val="24"/>
        </w:rPr>
        <w:t>Každý spis musí být označen spisovou značkou.</w:t>
      </w:r>
      <w:r>
        <w:rPr>
          <w:rFonts w:ascii="Times New Roman" w:hAnsi="Times New Roman"/>
          <w:sz w:val="24"/>
          <w:szCs w:val="24"/>
        </w:rPr>
        <w:t xml:space="preserve"> </w:t>
      </w:r>
      <w:r w:rsidR="00DE174A" w:rsidRPr="00DE174A">
        <w:rPr>
          <w:rFonts w:ascii="Times New Roman" w:hAnsi="Times New Roman"/>
          <w:sz w:val="24"/>
          <w:szCs w:val="24"/>
        </w:rPr>
        <w:t>Spis tvoří zejména podání, protokoly, zázna</w:t>
      </w:r>
      <w:r>
        <w:rPr>
          <w:rFonts w:ascii="Times New Roman" w:hAnsi="Times New Roman"/>
          <w:sz w:val="24"/>
          <w:szCs w:val="24"/>
        </w:rPr>
        <w:t>my, písemná vyhotovení rozhodnu</w:t>
      </w:r>
      <w:r w:rsidR="00DE174A" w:rsidRPr="00DE174A">
        <w:rPr>
          <w:rFonts w:ascii="Times New Roman" w:hAnsi="Times New Roman"/>
          <w:sz w:val="24"/>
          <w:szCs w:val="24"/>
        </w:rPr>
        <w:t>tí a další písemnosti, které se vztahují k dané věci. Přílohou, která je součástí spisu, jsou zejména důkazní prostředky, obrazové a zvukové záznamy a záznamy na elektronických mé</w:t>
      </w:r>
      <w:r>
        <w:rPr>
          <w:rFonts w:ascii="Times New Roman" w:hAnsi="Times New Roman"/>
          <w:sz w:val="24"/>
          <w:szCs w:val="24"/>
        </w:rPr>
        <w:t xml:space="preserve">diích. </w:t>
      </w:r>
      <w:r w:rsidR="00DE174A" w:rsidRPr="00DE174A">
        <w:rPr>
          <w:rFonts w:ascii="Times New Roman" w:hAnsi="Times New Roman"/>
          <w:sz w:val="24"/>
          <w:szCs w:val="24"/>
        </w:rPr>
        <w:t>Spis musí obsahovat soupis všech svých součástí, včetně příloh, s určením data, kdy byly do spisu vloženy.</w:t>
      </w:r>
    </w:p>
    <w:p w:rsidR="00DE174A" w:rsidRP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 xml:space="preserve">O </w:t>
      </w:r>
      <w:r w:rsidRPr="00DB64A5">
        <w:rPr>
          <w:rFonts w:ascii="Times New Roman" w:hAnsi="Times New Roman"/>
          <w:b/>
          <w:sz w:val="24"/>
          <w:szCs w:val="24"/>
        </w:rPr>
        <w:t>ústním jednání</w:t>
      </w:r>
      <w:r w:rsidRPr="00DE174A">
        <w:rPr>
          <w:rFonts w:ascii="Times New Roman" w:hAnsi="Times New Roman"/>
          <w:sz w:val="24"/>
          <w:szCs w:val="24"/>
        </w:rPr>
        <w:t xml:space="preserve"> (§ 49) a o ústním podání, výslechu svědka, výslechu znalce, provedení důkazu listinou a ohledání, pokud jsou prováděny mimo ústní jednání, jakož i o jiných úkonech souvisejících s řízením v dané věci, při nichž dochází ke styku s účastníky</w:t>
      </w:r>
      <w:r w:rsidR="00D67DB2">
        <w:rPr>
          <w:rFonts w:ascii="Times New Roman" w:hAnsi="Times New Roman"/>
          <w:sz w:val="24"/>
          <w:szCs w:val="24"/>
        </w:rPr>
        <w:t xml:space="preserve"> řízení, se sepisuje protokol. </w:t>
      </w:r>
      <w:r w:rsidRPr="00DE174A">
        <w:rPr>
          <w:rFonts w:ascii="Times New Roman" w:hAnsi="Times New Roman"/>
          <w:sz w:val="24"/>
          <w:szCs w:val="24"/>
        </w:rPr>
        <w:t>Kromě protokolu lze též pořídit obrazový nebo zvukový záznam.</w:t>
      </w:r>
    </w:p>
    <w:p w:rsid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B64A5">
        <w:rPr>
          <w:rFonts w:ascii="Times New Roman" w:hAnsi="Times New Roman"/>
          <w:b/>
          <w:sz w:val="24"/>
          <w:szCs w:val="24"/>
        </w:rPr>
        <w:t xml:space="preserve">Protokol </w:t>
      </w:r>
      <w:r w:rsidRPr="00DE174A">
        <w:rPr>
          <w:rFonts w:ascii="Times New Roman" w:hAnsi="Times New Roman"/>
          <w:sz w:val="24"/>
          <w:szCs w:val="24"/>
        </w:rPr>
        <w:t>obsahuje zejména místo, čas a označení úkonů, které jsou předmětem zápisu, údaje umožňující identifikaci přítomných osob, vylíčení průběhu předmětných úkonů, označení správního orgánu a jméno, příjmení a funkci nebo služební číslo oprávněné úřední osoby, která úkony provedla. Údaji umožňujícími identifikaci fyzické osoby se rozumějí jméno, příjmení, datum narození a místo trvalého pobytu, popřípadě jiný údaj podle zvláštního zákona.</w:t>
      </w:r>
    </w:p>
    <w:p w:rsid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</w:p>
    <w:p w:rsidR="00DB64A5" w:rsidRPr="00DE174A" w:rsidRDefault="00DB64A5" w:rsidP="00DE174A">
      <w:pPr>
        <w:jc w:val="both"/>
        <w:rPr>
          <w:rFonts w:ascii="Times New Roman" w:hAnsi="Times New Roman"/>
          <w:sz w:val="24"/>
          <w:szCs w:val="24"/>
        </w:rPr>
      </w:pPr>
    </w:p>
    <w:p w:rsid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lastRenderedPageBreak/>
        <w:t>2. Doručování</w:t>
      </w:r>
    </w:p>
    <w:p w:rsidR="00DE174A" w:rsidRP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Písemnost doručuje spr</w:t>
      </w:r>
      <w:r w:rsidR="00D67DB2">
        <w:rPr>
          <w:rFonts w:ascii="Times New Roman" w:hAnsi="Times New Roman"/>
          <w:sz w:val="24"/>
          <w:szCs w:val="24"/>
        </w:rPr>
        <w:t xml:space="preserve">ávní orgán, který ji vyhotovil. Přednostně se doručuje </w:t>
      </w:r>
      <w:r w:rsidRPr="00DE174A">
        <w:rPr>
          <w:rFonts w:ascii="Times New Roman" w:hAnsi="Times New Roman"/>
          <w:sz w:val="24"/>
          <w:szCs w:val="24"/>
        </w:rPr>
        <w:t>prostřednictvím veřejné datové sítě do</w:t>
      </w:r>
      <w:r w:rsidR="00D67DB2">
        <w:rPr>
          <w:rFonts w:ascii="Times New Roman" w:hAnsi="Times New Roman"/>
          <w:sz w:val="24"/>
          <w:szCs w:val="24"/>
        </w:rPr>
        <w:t xml:space="preserve"> datové schránky, </w:t>
      </w:r>
      <w:r w:rsidRPr="00DE174A">
        <w:rPr>
          <w:rFonts w:ascii="Times New Roman" w:hAnsi="Times New Roman"/>
          <w:sz w:val="24"/>
          <w:szCs w:val="24"/>
        </w:rPr>
        <w:t>správní</w:t>
      </w:r>
      <w:r w:rsidR="00D67DB2">
        <w:rPr>
          <w:rFonts w:ascii="Times New Roman" w:hAnsi="Times New Roman"/>
          <w:sz w:val="24"/>
          <w:szCs w:val="24"/>
        </w:rPr>
        <w:t xml:space="preserve"> orgán sám, </w:t>
      </w:r>
      <w:r w:rsidRPr="00DE174A">
        <w:rPr>
          <w:rFonts w:ascii="Times New Roman" w:hAnsi="Times New Roman"/>
          <w:sz w:val="24"/>
          <w:szCs w:val="24"/>
        </w:rPr>
        <w:t>také prostřednictvím pr</w:t>
      </w:r>
      <w:r w:rsidR="00D67DB2">
        <w:rPr>
          <w:rFonts w:ascii="Times New Roman" w:hAnsi="Times New Roman"/>
          <w:sz w:val="24"/>
          <w:szCs w:val="24"/>
        </w:rPr>
        <w:t xml:space="preserve">ovozovatele poštovních služeb, </w:t>
      </w:r>
      <w:r w:rsidRPr="00DE174A">
        <w:rPr>
          <w:rFonts w:ascii="Times New Roman" w:hAnsi="Times New Roman"/>
          <w:sz w:val="24"/>
          <w:szCs w:val="24"/>
        </w:rPr>
        <w:t>pr</w:t>
      </w:r>
      <w:r w:rsidR="00D67DB2">
        <w:rPr>
          <w:rFonts w:ascii="Times New Roman" w:hAnsi="Times New Roman"/>
          <w:sz w:val="24"/>
          <w:szCs w:val="24"/>
        </w:rPr>
        <w:t xml:space="preserve">ostřednictvím obecního úřadu, </w:t>
      </w:r>
      <w:r w:rsidRPr="00DE174A">
        <w:rPr>
          <w:rFonts w:ascii="Times New Roman" w:hAnsi="Times New Roman"/>
          <w:sz w:val="24"/>
          <w:szCs w:val="24"/>
        </w:rPr>
        <w:t>pros</w:t>
      </w:r>
      <w:r w:rsidR="00D67DB2">
        <w:rPr>
          <w:rFonts w:ascii="Times New Roman" w:hAnsi="Times New Roman"/>
          <w:sz w:val="24"/>
          <w:szCs w:val="24"/>
        </w:rPr>
        <w:t>třednictvím policejního orgánu nebo</w:t>
      </w:r>
      <w:r w:rsidRPr="00DE174A">
        <w:rPr>
          <w:rFonts w:ascii="Times New Roman" w:hAnsi="Times New Roman"/>
          <w:sz w:val="24"/>
          <w:szCs w:val="24"/>
        </w:rPr>
        <w:t xml:space="preserve"> prostřednictvím obecní policie</w:t>
      </w:r>
      <w:r w:rsidR="00D67DB2">
        <w:rPr>
          <w:rFonts w:ascii="Times New Roman" w:hAnsi="Times New Roman"/>
          <w:sz w:val="24"/>
          <w:szCs w:val="24"/>
        </w:rPr>
        <w:t>.</w:t>
      </w:r>
    </w:p>
    <w:p w:rsidR="00D67DB2" w:rsidRDefault="00D67DB2" w:rsidP="00D67D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Doručuje se na adresu pro doručování, </w:t>
      </w:r>
      <w:r w:rsidR="00DE174A" w:rsidRPr="00DE174A">
        <w:rPr>
          <w:rFonts w:ascii="Times New Roman" w:hAnsi="Times New Roman"/>
          <w:sz w:val="24"/>
          <w:szCs w:val="24"/>
        </w:rPr>
        <w:t>adresu v IS evidence obyvatelstv</w:t>
      </w:r>
      <w:r>
        <w:rPr>
          <w:rFonts w:ascii="Times New Roman" w:hAnsi="Times New Roman"/>
          <w:sz w:val="24"/>
          <w:szCs w:val="24"/>
        </w:rPr>
        <w:t>a či</w:t>
      </w:r>
      <w:r w:rsidR="00DE174A" w:rsidRPr="00DE174A">
        <w:rPr>
          <w:rFonts w:ascii="Times New Roman" w:hAnsi="Times New Roman"/>
          <w:sz w:val="24"/>
          <w:szCs w:val="24"/>
        </w:rPr>
        <w:t xml:space="preserve"> elektronickou cestou</w:t>
      </w:r>
      <w:r>
        <w:rPr>
          <w:rFonts w:ascii="Times New Roman" w:hAnsi="Times New Roman"/>
          <w:sz w:val="24"/>
          <w:szCs w:val="24"/>
        </w:rPr>
        <w:t>. Do vlastních rukou se doručuje</w:t>
      </w:r>
      <w:r w:rsidR="00DE174A" w:rsidRPr="00DE174A">
        <w:rPr>
          <w:rFonts w:ascii="Times New Roman" w:hAnsi="Times New Roman"/>
          <w:sz w:val="24"/>
          <w:szCs w:val="24"/>
        </w:rPr>
        <w:t xml:space="preserve"> předvolání, rozhodnutí</w:t>
      </w:r>
      <w:r>
        <w:rPr>
          <w:rFonts w:ascii="Times New Roman" w:hAnsi="Times New Roman"/>
          <w:sz w:val="24"/>
          <w:szCs w:val="24"/>
        </w:rPr>
        <w:t>, nebo pokud</w:t>
      </w:r>
      <w:r w:rsidR="00DE174A" w:rsidRPr="00DE174A">
        <w:rPr>
          <w:rFonts w:ascii="Times New Roman" w:hAnsi="Times New Roman"/>
          <w:sz w:val="24"/>
          <w:szCs w:val="24"/>
        </w:rPr>
        <w:t xml:space="preserve"> hrozí vydání jinému účastníkovi s protichůdným zájmem</w:t>
      </w:r>
      <w:r>
        <w:rPr>
          <w:rFonts w:ascii="Times New Roman" w:hAnsi="Times New Roman"/>
          <w:sz w:val="24"/>
          <w:szCs w:val="24"/>
        </w:rPr>
        <w:t>.</w:t>
      </w:r>
      <w:r w:rsidRPr="00D67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Uplatňuje se tzv. </w:t>
      </w:r>
      <w:r w:rsidRPr="00DE174A">
        <w:rPr>
          <w:rFonts w:ascii="Times New Roman" w:hAnsi="Times New Roman"/>
          <w:sz w:val="24"/>
          <w:szCs w:val="24"/>
        </w:rPr>
        <w:t>fikce doručení</w:t>
      </w:r>
      <w:r>
        <w:rPr>
          <w:rFonts w:ascii="Times New Roman" w:hAnsi="Times New Roman"/>
          <w:sz w:val="24"/>
          <w:szCs w:val="24"/>
        </w:rPr>
        <w:t>, j</w:t>
      </w:r>
      <w:r w:rsidRPr="00D67DB2">
        <w:rPr>
          <w:rFonts w:ascii="Times New Roman" w:hAnsi="Times New Roman"/>
          <w:sz w:val="24"/>
          <w:szCs w:val="24"/>
        </w:rPr>
        <w:t>estliže si adresát uložené písemnosti písemnost ve lhůtě 10 dnů ode dne, kdy byla k vyzvednutí připravena, nevyzvedne, písemnost se považuje za doručenou posledním dnem této lhůty.</w:t>
      </w:r>
      <w:r w:rsidRPr="00DE1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74A" w:rsidRP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</w:p>
    <w:p w:rsid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3. Lhůty a počítání času</w:t>
      </w:r>
    </w:p>
    <w:p w:rsidR="00DE174A" w:rsidRPr="00DE174A" w:rsidRDefault="00994AD5" w:rsidP="00DE174A">
      <w:pPr>
        <w:jc w:val="both"/>
        <w:rPr>
          <w:rFonts w:ascii="Times New Roman" w:hAnsi="Times New Roman"/>
          <w:sz w:val="24"/>
          <w:szCs w:val="24"/>
        </w:rPr>
      </w:pPr>
      <w:r w:rsidRPr="00DB64A5">
        <w:rPr>
          <w:rFonts w:ascii="Times New Roman" w:hAnsi="Times New Roman"/>
          <w:b/>
          <w:sz w:val="24"/>
          <w:szCs w:val="24"/>
        </w:rPr>
        <w:t>L</w:t>
      </w:r>
      <w:r w:rsidR="00DE174A" w:rsidRPr="00DB64A5">
        <w:rPr>
          <w:rFonts w:ascii="Times New Roman" w:hAnsi="Times New Roman"/>
          <w:b/>
          <w:sz w:val="24"/>
          <w:szCs w:val="24"/>
        </w:rPr>
        <w:t>hůty</w:t>
      </w:r>
      <w:r w:rsidR="00DE174A" w:rsidRPr="00DE1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jsou</w:t>
      </w:r>
      <w:r w:rsidR="00DE174A" w:rsidRPr="00DE174A">
        <w:rPr>
          <w:rFonts w:ascii="Times New Roman" w:hAnsi="Times New Roman"/>
          <w:sz w:val="24"/>
          <w:szCs w:val="24"/>
        </w:rPr>
        <w:t xml:space="preserve"> vyjádření</w:t>
      </w:r>
      <w:r>
        <w:rPr>
          <w:rFonts w:ascii="Times New Roman" w:hAnsi="Times New Roman"/>
          <w:sz w:val="24"/>
          <w:szCs w:val="24"/>
        </w:rPr>
        <w:t>m</w:t>
      </w:r>
      <w:r w:rsidR="00DE174A" w:rsidRPr="00DE174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ásady</w:t>
      </w:r>
      <w:r w:rsidR="00DE174A" w:rsidRPr="00DE174A">
        <w:rPr>
          <w:rFonts w:ascii="Times New Roman" w:hAnsi="Times New Roman"/>
          <w:sz w:val="24"/>
          <w:szCs w:val="24"/>
        </w:rPr>
        <w:t xml:space="preserve"> procesní ekonomie</w:t>
      </w:r>
      <w:r>
        <w:rPr>
          <w:rFonts w:ascii="Times New Roman" w:hAnsi="Times New Roman"/>
          <w:sz w:val="24"/>
          <w:szCs w:val="24"/>
        </w:rPr>
        <w:t xml:space="preserve">. </w:t>
      </w:r>
      <w:r w:rsidR="00DE174A" w:rsidRPr="00DE174A">
        <w:rPr>
          <w:rFonts w:ascii="Times New Roman" w:hAnsi="Times New Roman"/>
          <w:sz w:val="24"/>
          <w:szCs w:val="24"/>
        </w:rPr>
        <w:t>Správní orgán účastníkovi určí přiměřenou lhůtu k provedení úkonu, pokud ji nestanoví</w:t>
      </w:r>
      <w:r w:rsidR="00DB64A5">
        <w:rPr>
          <w:rFonts w:ascii="Times New Roman" w:hAnsi="Times New Roman"/>
          <w:sz w:val="24"/>
          <w:szCs w:val="24"/>
        </w:rPr>
        <w:t xml:space="preserve"> zákon a je-li toho zapotřebí. R</w:t>
      </w:r>
      <w:r w:rsidR="00DE174A" w:rsidRPr="00DE174A">
        <w:rPr>
          <w:rFonts w:ascii="Times New Roman" w:hAnsi="Times New Roman"/>
          <w:sz w:val="24"/>
          <w:szCs w:val="24"/>
        </w:rPr>
        <w:t>ozlišuj</w:t>
      </w:r>
      <w:r w:rsidR="00DB64A5">
        <w:rPr>
          <w:rFonts w:ascii="Times New Roman" w:hAnsi="Times New Roman"/>
          <w:sz w:val="24"/>
          <w:szCs w:val="24"/>
        </w:rPr>
        <w:t xml:space="preserve">í se lhůty procesní – tzv. </w:t>
      </w:r>
      <w:r w:rsidR="00DE174A" w:rsidRPr="00DE174A">
        <w:rPr>
          <w:rFonts w:ascii="Times New Roman" w:hAnsi="Times New Roman"/>
          <w:sz w:val="24"/>
          <w:szCs w:val="24"/>
        </w:rPr>
        <w:t>pořádkové a zákonné</w:t>
      </w:r>
      <w:r w:rsidR="00DB64A5">
        <w:rPr>
          <w:rFonts w:ascii="Times New Roman" w:hAnsi="Times New Roman"/>
          <w:sz w:val="24"/>
          <w:szCs w:val="24"/>
        </w:rPr>
        <w:t xml:space="preserve">. </w:t>
      </w:r>
      <w:r w:rsidR="00DE174A" w:rsidRPr="00DE174A">
        <w:rPr>
          <w:rFonts w:ascii="Times New Roman" w:hAnsi="Times New Roman"/>
          <w:sz w:val="24"/>
          <w:szCs w:val="24"/>
        </w:rPr>
        <w:t>Určením lhůty nesmí být ohrožen účel řízení a</w:t>
      </w:r>
      <w:r w:rsidR="00DB64A5">
        <w:rPr>
          <w:rFonts w:ascii="Times New Roman" w:hAnsi="Times New Roman"/>
          <w:sz w:val="24"/>
          <w:szCs w:val="24"/>
        </w:rPr>
        <w:t xml:space="preserve">ni porušena rovnost účastníků. </w:t>
      </w:r>
      <w:r w:rsidR="00DE174A" w:rsidRPr="00DE174A">
        <w:rPr>
          <w:rFonts w:ascii="Times New Roman" w:hAnsi="Times New Roman"/>
          <w:sz w:val="24"/>
          <w:szCs w:val="24"/>
        </w:rPr>
        <w:t>Usnesení o určení lhůty se oznamuje pouze tomu, komu je určena, popřípadě i tom</w:t>
      </w:r>
      <w:r w:rsidR="00DB64A5">
        <w:rPr>
          <w:rFonts w:ascii="Times New Roman" w:hAnsi="Times New Roman"/>
          <w:sz w:val="24"/>
          <w:szCs w:val="24"/>
        </w:rPr>
        <w:t xml:space="preserve">u, jehož se jinak přímo dotýká. </w:t>
      </w:r>
      <w:r w:rsidR="00DE174A" w:rsidRPr="00DE174A">
        <w:rPr>
          <w:rFonts w:ascii="Times New Roman" w:hAnsi="Times New Roman"/>
          <w:sz w:val="24"/>
          <w:szCs w:val="24"/>
        </w:rPr>
        <w:t>Lhůtu určenou správním orgánem může na žádost účastníka správní orgán usnesením přiměřeně prodloužit.</w:t>
      </w:r>
      <w:r w:rsidR="00DB64A5">
        <w:rPr>
          <w:rFonts w:ascii="Times New Roman" w:hAnsi="Times New Roman"/>
          <w:sz w:val="24"/>
          <w:szCs w:val="24"/>
        </w:rPr>
        <w:t xml:space="preserve"> </w:t>
      </w:r>
      <w:r w:rsidR="00DE174A" w:rsidRPr="00DE174A">
        <w:rPr>
          <w:rFonts w:ascii="Times New Roman" w:hAnsi="Times New Roman"/>
          <w:sz w:val="24"/>
          <w:szCs w:val="24"/>
        </w:rPr>
        <w:t>V pochybnostech se lhůta považuje za zachovanou, dokud se neprokáže opak.</w:t>
      </w:r>
    </w:p>
    <w:p w:rsidR="00DB64A5" w:rsidRPr="00DE174A" w:rsidRDefault="00DB64A5" w:rsidP="00DB64A5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Lhůta je zachována, je-li posledního dne lhůty učiněno podání u věcně a místně příslušného správního orgánu anebo je-li v tento den podána poštovní zásilka adresovaná tomuto správnímu orgánu, posledního dne lhůty učiněno podání u správního orgánu vyššího stupně (nemůže-li účastník z vážných důvodů učinit podání u věcně a místně příslušného správního orgánu).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74A" w:rsidRPr="00DE174A" w:rsidRDefault="00DB64A5" w:rsidP="00DE17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</w:t>
      </w:r>
      <w:r w:rsidRPr="00DB64A5">
        <w:rPr>
          <w:rFonts w:ascii="Times New Roman" w:hAnsi="Times New Roman"/>
          <w:b/>
          <w:sz w:val="24"/>
          <w:szCs w:val="24"/>
        </w:rPr>
        <w:t>počítání času</w:t>
      </w:r>
      <w:r>
        <w:rPr>
          <w:rFonts w:ascii="Times New Roman" w:hAnsi="Times New Roman"/>
          <w:sz w:val="24"/>
          <w:szCs w:val="24"/>
        </w:rPr>
        <w:t xml:space="preserve"> platí následující pravidla. </w:t>
      </w:r>
      <w:r w:rsidR="00DE174A" w:rsidRPr="00DE174A">
        <w:rPr>
          <w:rFonts w:ascii="Times New Roman" w:hAnsi="Times New Roman"/>
          <w:sz w:val="24"/>
          <w:szCs w:val="24"/>
        </w:rPr>
        <w:t>Nezapočítává se do běhu lhůty den, kdy došlo ke skut</w:t>
      </w:r>
      <w:r>
        <w:rPr>
          <w:rFonts w:ascii="Times New Roman" w:hAnsi="Times New Roman"/>
          <w:sz w:val="24"/>
          <w:szCs w:val="24"/>
        </w:rPr>
        <w:t xml:space="preserve">ečnosti určující počátek lhůty. </w:t>
      </w:r>
      <w:r w:rsidR="00DE174A" w:rsidRPr="00DE174A">
        <w:rPr>
          <w:rFonts w:ascii="Times New Roman" w:hAnsi="Times New Roman"/>
          <w:sz w:val="24"/>
          <w:szCs w:val="24"/>
        </w:rPr>
        <w:t>Lhůty určené podle týdnů, měsíců nebo let končí uplynutím toho dne, který se svým označením shoduje se dnem, kdy došlo ke skut</w:t>
      </w:r>
      <w:r>
        <w:rPr>
          <w:rFonts w:ascii="Times New Roman" w:hAnsi="Times New Roman"/>
          <w:sz w:val="24"/>
          <w:szCs w:val="24"/>
        </w:rPr>
        <w:t xml:space="preserve">ečnosti určující počátek lhůty. </w:t>
      </w:r>
      <w:r w:rsidR="00DE174A" w:rsidRPr="00DE174A">
        <w:rPr>
          <w:rFonts w:ascii="Times New Roman" w:hAnsi="Times New Roman"/>
          <w:sz w:val="24"/>
          <w:szCs w:val="24"/>
        </w:rPr>
        <w:t>Připadne-li konec lhůty na sobotu, neděli nebo svátek, je posledním dnem lhůty nejbližší příští pracovní den</w:t>
      </w:r>
      <w:r>
        <w:rPr>
          <w:rFonts w:ascii="Times New Roman" w:hAnsi="Times New Roman"/>
          <w:sz w:val="24"/>
          <w:szCs w:val="24"/>
        </w:rPr>
        <w:t>.</w:t>
      </w:r>
      <w:r w:rsidRPr="00DB64A5">
        <w:rPr>
          <w:rFonts w:ascii="Times New Roman" w:hAnsi="Times New Roman"/>
          <w:sz w:val="24"/>
          <w:szCs w:val="24"/>
        </w:rPr>
        <w:t xml:space="preserve"> </w:t>
      </w:r>
      <w:r w:rsidRPr="00DE174A">
        <w:rPr>
          <w:rFonts w:ascii="Times New Roman" w:hAnsi="Times New Roman"/>
          <w:sz w:val="24"/>
          <w:szCs w:val="24"/>
        </w:rPr>
        <w:t>Počítají se kalendářní dny</w:t>
      </w:r>
      <w:r>
        <w:rPr>
          <w:rFonts w:ascii="Times New Roman" w:hAnsi="Times New Roman"/>
          <w:sz w:val="24"/>
          <w:szCs w:val="24"/>
        </w:rPr>
        <w:t>.</w:t>
      </w:r>
    </w:p>
    <w:p w:rsidR="00DE174A" w:rsidRDefault="00DB64A5" w:rsidP="00DE17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Příklad: P</w:t>
      </w:r>
      <w:r w:rsidR="00DE174A" w:rsidRPr="00DE174A">
        <w:rPr>
          <w:rFonts w:ascii="Times New Roman" w:hAnsi="Times New Roman"/>
          <w:sz w:val="24"/>
          <w:szCs w:val="24"/>
        </w:rPr>
        <w:t xml:space="preserve">ísemnost </w:t>
      </w:r>
      <w:r>
        <w:rPr>
          <w:rFonts w:ascii="Times New Roman" w:hAnsi="Times New Roman"/>
          <w:sz w:val="24"/>
          <w:szCs w:val="24"/>
        </w:rPr>
        <w:t xml:space="preserve">je </w:t>
      </w:r>
      <w:r w:rsidR="00DE174A" w:rsidRPr="00DE174A">
        <w:rPr>
          <w:rFonts w:ascii="Times New Roman" w:hAnsi="Times New Roman"/>
          <w:sz w:val="24"/>
          <w:szCs w:val="24"/>
        </w:rPr>
        <w:t>ulože</w:t>
      </w:r>
      <w:r>
        <w:rPr>
          <w:rFonts w:ascii="Times New Roman" w:hAnsi="Times New Roman"/>
          <w:sz w:val="24"/>
          <w:szCs w:val="24"/>
        </w:rPr>
        <w:t xml:space="preserve">na na poště 5. 4., převzato – doručeno 6. 4., lhůta se počítá od 7. 4., </w:t>
      </w:r>
      <w:r w:rsidR="00DE174A" w:rsidRPr="00DE174A">
        <w:rPr>
          <w:rFonts w:ascii="Times New Roman" w:hAnsi="Times New Roman"/>
          <w:sz w:val="24"/>
          <w:szCs w:val="24"/>
        </w:rPr>
        <w:t>15denní</w:t>
      </w:r>
      <w:r>
        <w:rPr>
          <w:rFonts w:ascii="Times New Roman" w:hAnsi="Times New Roman"/>
          <w:sz w:val="24"/>
          <w:szCs w:val="24"/>
        </w:rPr>
        <w:t xml:space="preserve"> lhůta uplyne v sobotu 21. 4., </w:t>
      </w:r>
      <w:r w:rsidR="00DE174A" w:rsidRPr="00DE174A">
        <w:rPr>
          <w:rFonts w:ascii="Times New Roman" w:hAnsi="Times New Roman"/>
          <w:sz w:val="24"/>
          <w:szCs w:val="24"/>
        </w:rPr>
        <w:t xml:space="preserve">lhůta </w:t>
      </w:r>
      <w:r>
        <w:rPr>
          <w:rFonts w:ascii="Times New Roman" w:hAnsi="Times New Roman"/>
          <w:sz w:val="24"/>
          <w:szCs w:val="24"/>
        </w:rPr>
        <w:t xml:space="preserve">je </w:t>
      </w:r>
      <w:r w:rsidR="00DE174A" w:rsidRPr="00DE174A">
        <w:rPr>
          <w:rFonts w:ascii="Times New Roman" w:hAnsi="Times New Roman"/>
          <w:sz w:val="24"/>
          <w:szCs w:val="24"/>
        </w:rPr>
        <w:t>zachována ještě v pondělí 23. 4.</w:t>
      </w:r>
    </w:p>
    <w:p w:rsidR="00DE174A" w:rsidRP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</w:p>
    <w:p w:rsid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4. Podklady pro vydání rozhodnutí</w:t>
      </w:r>
    </w:p>
    <w:p w:rsid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B64A5">
        <w:rPr>
          <w:rFonts w:ascii="Times New Roman" w:hAnsi="Times New Roman"/>
          <w:b/>
          <w:sz w:val="24"/>
          <w:szCs w:val="24"/>
        </w:rPr>
        <w:t>Podklady pro vydání rozhodnu</w:t>
      </w:r>
      <w:r w:rsidR="00DB64A5" w:rsidRPr="00DB64A5">
        <w:rPr>
          <w:rFonts w:ascii="Times New Roman" w:hAnsi="Times New Roman"/>
          <w:b/>
          <w:sz w:val="24"/>
          <w:szCs w:val="24"/>
        </w:rPr>
        <w:t>tí</w:t>
      </w:r>
      <w:r w:rsidR="00DB64A5">
        <w:rPr>
          <w:rFonts w:ascii="Times New Roman" w:hAnsi="Times New Roman"/>
          <w:sz w:val="24"/>
          <w:szCs w:val="24"/>
        </w:rPr>
        <w:t xml:space="preserve"> (§ 50 SŘ) mohou být zejména návrhy účastníků, důkazy, </w:t>
      </w:r>
      <w:r w:rsidRPr="00DE174A">
        <w:rPr>
          <w:rFonts w:ascii="Times New Roman" w:hAnsi="Times New Roman"/>
          <w:sz w:val="24"/>
          <w:szCs w:val="24"/>
        </w:rPr>
        <w:t>skutečnosti známé správ</w:t>
      </w:r>
      <w:r w:rsidR="00DB64A5">
        <w:rPr>
          <w:rFonts w:ascii="Times New Roman" w:hAnsi="Times New Roman"/>
          <w:sz w:val="24"/>
          <w:szCs w:val="24"/>
        </w:rPr>
        <w:t xml:space="preserve">nímu orgánu z úřední činnosti, </w:t>
      </w:r>
      <w:r w:rsidRPr="00DE174A">
        <w:rPr>
          <w:rFonts w:ascii="Times New Roman" w:hAnsi="Times New Roman"/>
          <w:sz w:val="24"/>
          <w:szCs w:val="24"/>
        </w:rPr>
        <w:t>podklady od jiných správních or</w:t>
      </w:r>
      <w:r w:rsidR="00DB64A5">
        <w:rPr>
          <w:rFonts w:ascii="Times New Roman" w:hAnsi="Times New Roman"/>
          <w:sz w:val="24"/>
          <w:szCs w:val="24"/>
        </w:rPr>
        <w:t xml:space="preserve">gánů nebo orgánů veřejné moci, </w:t>
      </w:r>
      <w:r w:rsidRPr="00DE174A">
        <w:rPr>
          <w:rFonts w:ascii="Times New Roman" w:hAnsi="Times New Roman"/>
          <w:sz w:val="24"/>
          <w:szCs w:val="24"/>
        </w:rPr>
        <w:t>skutečnosti obecně známé.</w:t>
      </w:r>
    </w:p>
    <w:p w:rsidR="00DE174A" w:rsidRP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</w:p>
    <w:p w:rsid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5. Zajištění účelu a průběhu řízení</w:t>
      </w:r>
    </w:p>
    <w:p w:rsid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K zajištění účelu a průběhu správního řízení správní orgán podle správního řádu použije násl</w:t>
      </w:r>
      <w:r w:rsidR="00DB64A5">
        <w:rPr>
          <w:rFonts w:ascii="Times New Roman" w:hAnsi="Times New Roman"/>
          <w:sz w:val="24"/>
          <w:szCs w:val="24"/>
        </w:rPr>
        <w:t xml:space="preserve">edující </w:t>
      </w:r>
      <w:r w:rsidR="00DB64A5" w:rsidRPr="00DB64A5">
        <w:rPr>
          <w:rFonts w:ascii="Times New Roman" w:hAnsi="Times New Roman"/>
          <w:b/>
          <w:sz w:val="24"/>
          <w:szCs w:val="24"/>
        </w:rPr>
        <w:t xml:space="preserve">zajišťovací prostředky: </w:t>
      </w:r>
      <w:r w:rsidRPr="00DE174A">
        <w:rPr>
          <w:rFonts w:ascii="Times New Roman" w:hAnsi="Times New Roman"/>
          <w:sz w:val="24"/>
          <w:szCs w:val="24"/>
        </w:rPr>
        <w:t>př</w:t>
      </w:r>
      <w:r w:rsidR="00DB64A5">
        <w:rPr>
          <w:rFonts w:ascii="Times New Roman" w:hAnsi="Times New Roman"/>
          <w:sz w:val="24"/>
          <w:szCs w:val="24"/>
        </w:rPr>
        <w:t xml:space="preserve">edvolání (§ 59), předvedení (§ 60), předběžné opatření (§ 61), </w:t>
      </w:r>
      <w:r w:rsidRPr="00DE174A">
        <w:rPr>
          <w:rFonts w:ascii="Times New Roman" w:hAnsi="Times New Roman"/>
          <w:sz w:val="24"/>
          <w:szCs w:val="24"/>
        </w:rPr>
        <w:t>pořádko</w:t>
      </w:r>
      <w:r w:rsidR="00DB64A5">
        <w:rPr>
          <w:rFonts w:ascii="Times New Roman" w:hAnsi="Times New Roman"/>
          <w:sz w:val="24"/>
          <w:szCs w:val="24"/>
        </w:rPr>
        <w:t xml:space="preserve">vou pokutu (§ 62) – až 50000 Kč, </w:t>
      </w:r>
      <w:r w:rsidRPr="00DE174A">
        <w:rPr>
          <w:rFonts w:ascii="Times New Roman" w:hAnsi="Times New Roman"/>
          <w:sz w:val="24"/>
          <w:szCs w:val="24"/>
        </w:rPr>
        <w:t>vykázá</w:t>
      </w:r>
      <w:r w:rsidR="00DB64A5">
        <w:rPr>
          <w:rFonts w:ascii="Times New Roman" w:hAnsi="Times New Roman"/>
          <w:sz w:val="24"/>
          <w:szCs w:val="24"/>
        </w:rPr>
        <w:t xml:space="preserve">ní z místa konání úkonu (§ 63), </w:t>
      </w:r>
      <w:r w:rsidRPr="00DE174A">
        <w:rPr>
          <w:rFonts w:ascii="Times New Roman" w:hAnsi="Times New Roman"/>
          <w:sz w:val="24"/>
          <w:szCs w:val="24"/>
        </w:rPr>
        <w:t>záruku za splnění povinnosti (§ 147).</w:t>
      </w:r>
    </w:p>
    <w:p w:rsidR="00DE174A" w:rsidRP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</w:p>
    <w:p w:rsid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6. Přerušení řízení a zastavení řízení</w:t>
      </w:r>
    </w:p>
    <w:p w:rsidR="00DE174A" w:rsidRP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B64A5">
        <w:rPr>
          <w:rFonts w:ascii="Times New Roman" w:hAnsi="Times New Roman"/>
          <w:b/>
          <w:sz w:val="24"/>
          <w:szCs w:val="24"/>
        </w:rPr>
        <w:t>Přerušení řízení</w:t>
      </w:r>
      <w:r w:rsidRPr="00DE174A">
        <w:rPr>
          <w:rFonts w:ascii="Times New Roman" w:hAnsi="Times New Roman"/>
          <w:sz w:val="24"/>
          <w:szCs w:val="24"/>
        </w:rPr>
        <w:t xml:space="preserve"> slouží k zastavení bě</w:t>
      </w:r>
      <w:r w:rsidR="00DB64A5">
        <w:rPr>
          <w:rFonts w:ascii="Times New Roman" w:hAnsi="Times New Roman"/>
          <w:sz w:val="24"/>
          <w:szCs w:val="24"/>
        </w:rPr>
        <w:t xml:space="preserve">hu lhůty pro vydání rozhodnutí. </w:t>
      </w:r>
      <w:r w:rsidRPr="00DE174A">
        <w:rPr>
          <w:rFonts w:ascii="Times New Roman" w:hAnsi="Times New Roman"/>
          <w:sz w:val="24"/>
          <w:szCs w:val="24"/>
        </w:rPr>
        <w:t>Nelze činit úkony, přípustné jsou pouze ty, které vedou</w:t>
      </w:r>
      <w:r w:rsidR="00DB64A5">
        <w:rPr>
          <w:rFonts w:ascii="Times New Roman" w:hAnsi="Times New Roman"/>
          <w:sz w:val="24"/>
          <w:szCs w:val="24"/>
        </w:rPr>
        <w:t xml:space="preserve"> k odstranění důvodu přerušení. </w:t>
      </w:r>
      <w:r w:rsidRPr="00DE174A">
        <w:rPr>
          <w:rFonts w:ascii="Times New Roman" w:hAnsi="Times New Roman"/>
          <w:sz w:val="24"/>
          <w:szCs w:val="24"/>
        </w:rPr>
        <w:t xml:space="preserve">Řízení zahájené na žádost – přerušení </w:t>
      </w:r>
      <w:r w:rsidR="00DB64A5">
        <w:rPr>
          <w:rFonts w:ascii="Times New Roman" w:hAnsi="Times New Roman"/>
          <w:sz w:val="24"/>
          <w:szCs w:val="24"/>
        </w:rPr>
        <w:t xml:space="preserve">lze na žádost účastníka řízení. </w:t>
      </w:r>
      <w:r w:rsidRPr="00DE174A">
        <w:rPr>
          <w:rFonts w:ascii="Times New Roman" w:hAnsi="Times New Roman"/>
          <w:sz w:val="24"/>
          <w:szCs w:val="24"/>
        </w:rPr>
        <w:t>Řízení zahájené z moci úřední – přerušení lze ze zákonem stanovených důvodů (odstranění nedostatků,</w:t>
      </w:r>
      <w:r w:rsidR="00DB64A5">
        <w:rPr>
          <w:rFonts w:ascii="Times New Roman" w:hAnsi="Times New Roman"/>
          <w:sz w:val="24"/>
          <w:szCs w:val="24"/>
        </w:rPr>
        <w:t xml:space="preserve"> předběžná otázka, opatrovník). O </w:t>
      </w:r>
      <w:r w:rsidRPr="00DE174A">
        <w:rPr>
          <w:rFonts w:ascii="Times New Roman" w:hAnsi="Times New Roman"/>
          <w:sz w:val="24"/>
          <w:szCs w:val="24"/>
        </w:rPr>
        <w:t>přeru</w:t>
      </w:r>
      <w:r w:rsidR="00DB64A5">
        <w:rPr>
          <w:rFonts w:ascii="Times New Roman" w:hAnsi="Times New Roman"/>
          <w:sz w:val="24"/>
          <w:szCs w:val="24"/>
        </w:rPr>
        <w:t xml:space="preserve">šení řízení se vydává usnesení. </w:t>
      </w:r>
      <w:r w:rsidRPr="00DE174A">
        <w:rPr>
          <w:rFonts w:ascii="Times New Roman" w:hAnsi="Times New Roman"/>
          <w:sz w:val="24"/>
          <w:szCs w:val="24"/>
        </w:rPr>
        <w:t>O pokračování řízení se provede záznam do spisu</w:t>
      </w:r>
      <w:r w:rsidRPr="00DE174A">
        <w:rPr>
          <w:rFonts w:ascii="Times New Roman" w:hAnsi="Times New Roman"/>
          <w:sz w:val="24"/>
          <w:szCs w:val="24"/>
        </w:rPr>
        <w:br/>
        <w:t>a účastníci se o tom vyrozumí.</w:t>
      </w:r>
      <w:r w:rsidR="00DB64A5">
        <w:rPr>
          <w:rFonts w:ascii="Times New Roman" w:hAnsi="Times New Roman"/>
          <w:sz w:val="24"/>
          <w:szCs w:val="24"/>
        </w:rPr>
        <w:t xml:space="preserve"> </w:t>
      </w:r>
      <w:r w:rsidRPr="00DE174A">
        <w:rPr>
          <w:rFonts w:ascii="Times New Roman" w:hAnsi="Times New Roman"/>
          <w:sz w:val="24"/>
          <w:szCs w:val="24"/>
        </w:rPr>
        <w:t>Zastavení řízení představuje stav, kdy správní orgán nerozhodne o předmětu řízení, tedy nevydá rozhodnutí ve věci.</w:t>
      </w:r>
    </w:p>
    <w:p w:rsid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Důvody se liší p</w:t>
      </w:r>
      <w:r w:rsidR="00DB64A5">
        <w:rPr>
          <w:rFonts w:ascii="Times New Roman" w:hAnsi="Times New Roman"/>
          <w:sz w:val="24"/>
          <w:szCs w:val="24"/>
        </w:rPr>
        <w:t xml:space="preserve">odle způsobu zahájení řízení, viz </w:t>
      </w:r>
      <w:r w:rsidRPr="00DE174A">
        <w:rPr>
          <w:rFonts w:ascii="Times New Roman" w:hAnsi="Times New Roman"/>
          <w:sz w:val="24"/>
          <w:szCs w:val="24"/>
        </w:rPr>
        <w:t>§ 66 SŘ</w:t>
      </w:r>
      <w:r w:rsidR="00DB64A5">
        <w:rPr>
          <w:rFonts w:ascii="Times New Roman" w:hAnsi="Times New Roman"/>
          <w:sz w:val="24"/>
          <w:szCs w:val="24"/>
        </w:rPr>
        <w:t>. Důvodem</w:t>
      </w:r>
      <w:r w:rsidRPr="00DE174A">
        <w:rPr>
          <w:rFonts w:ascii="Times New Roman" w:hAnsi="Times New Roman"/>
          <w:sz w:val="24"/>
          <w:szCs w:val="24"/>
        </w:rPr>
        <w:t xml:space="preserve"> </w:t>
      </w:r>
      <w:r w:rsidR="00DB64A5">
        <w:rPr>
          <w:rFonts w:ascii="Times New Roman" w:hAnsi="Times New Roman"/>
          <w:sz w:val="24"/>
          <w:szCs w:val="24"/>
        </w:rPr>
        <w:t xml:space="preserve">k </w:t>
      </w:r>
      <w:r w:rsidR="00DB64A5" w:rsidRPr="00DB64A5">
        <w:rPr>
          <w:rFonts w:ascii="Times New Roman" w:hAnsi="Times New Roman"/>
          <w:b/>
          <w:sz w:val="24"/>
          <w:szCs w:val="24"/>
        </w:rPr>
        <w:t xml:space="preserve">zastavení správního řízení </w:t>
      </w:r>
      <w:r w:rsidR="00DB64A5">
        <w:rPr>
          <w:rFonts w:ascii="Times New Roman" w:hAnsi="Times New Roman"/>
          <w:sz w:val="24"/>
          <w:szCs w:val="24"/>
        </w:rPr>
        <w:t xml:space="preserve">je případ, kdy </w:t>
      </w:r>
      <w:r w:rsidRPr="00DE174A">
        <w:rPr>
          <w:rFonts w:ascii="Times New Roman" w:hAnsi="Times New Roman"/>
          <w:sz w:val="24"/>
          <w:szCs w:val="24"/>
        </w:rPr>
        <w:t>úč</w:t>
      </w:r>
      <w:r w:rsidR="00DB64A5">
        <w:rPr>
          <w:rFonts w:ascii="Times New Roman" w:hAnsi="Times New Roman"/>
          <w:sz w:val="24"/>
          <w:szCs w:val="24"/>
        </w:rPr>
        <w:t xml:space="preserve">astník řízení vzal žádost zpět, </w:t>
      </w:r>
      <w:r w:rsidRPr="00DE174A">
        <w:rPr>
          <w:rFonts w:ascii="Times New Roman" w:hAnsi="Times New Roman"/>
          <w:sz w:val="24"/>
          <w:szCs w:val="24"/>
        </w:rPr>
        <w:t>žádos</w:t>
      </w:r>
      <w:r w:rsidR="00DB64A5">
        <w:rPr>
          <w:rFonts w:ascii="Times New Roman" w:hAnsi="Times New Roman"/>
          <w:sz w:val="24"/>
          <w:szCs w:val="24"/>
        </w:rPr>
        <w:t xml:space="preserve">t je zjevně právně nepřípustná, </w:t>
      </w:r>
      <w:r w:rsidRPr="00DE174A">
        <w:rPr>
          <w:rFonts w:ascii="Times New Roman" w:hAnsi="Times New Roman"/>
          <w:sz w:val="24"/>
          <w:szCs w:val="24"/>
        </w:rPr>
        <w:t>ža</w:t>
      </w:r>
      <w:r w:rsidR="00DB64A5">
        <w:rPr>
          <w:rFonts w:ascii="Times New Roman" w:hAnsi="Times New Roman"/>
          <w:sz w:val="24"/>
          <w:szCs w:val="24"/>
        </w:rPr>
        <w:t xml:space="preserve">datel neodstranil vady žádosti, žadatel zemřel, </w:t>
      </w:r>
      <w:r w:rsidRPr="00DE174A">
        <w:rPr>
          <w:rFonts w:ascii="Times New Roman" w:hAnsi="Times New Roman"/>
          <w:sz w:val="24"/>
          <w:szCs w:val="24"/>
        </w:rPr>
        <w:t xml:space="preserve">zjištění překážky v řízení </w:t>
      </w:r>
      <w:r w:rsidR="00DB64A5">
        <w:rPr>
          <w:rFonts w:ascii="Times New Roman" w:hAnsi="Times New Roman"/>
          <w:sz w:val="24"/>
          <w:szCs w:val="24"/>
        </w:rPr>
        <w:t xml:space="preserve">(litispendence, </w:t>
      </w:r>
      <w:proofErr w:type="spellStart"/>
      <w:r w:rsidR="00DB64A5">
        <w:rPr>
          <w:rFonts w:ascii="Times New Roman" w:hAnsi="Times New Roman"/>
          <w:sz w:val="24"/>
          <w:szCs w:val="24"/>
        </w:rPr>
        <w:t>rei</w:t>
      </w:r>
      <w:proofErr w:type="spellEnd"/>
      <w:r w:rsidR="00DB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4A5">
        <w:rPr>
          <w:rFonts w:ascii="Times New Roman" w:hAnsi="Times New Roman"/>
          <w:sz w:val="24"/>
          <w:szCs w:val="24"/>
        </w:rPr>
        <w:t>iudicatae</w:t>
      </w:r>
      <w:proofErr w:type="spellEnd"/>
      <w:r w:rsidR="00DB64A5">
        <w:rPr>
          <w:rFonts w:ascii="Times New Roman" w:hAnsi="Times New Roman"/>
          <w:sz w:val="24"/>
          <w:szCs w:val="24"/>
        </w:rPr>
        <w:t xml:space="preserve">), </w:t>
      </w:r>
      <w:r w:rsidRPr="00DE174A">
        <w:rPr>
          <w:rFonts w:ascii="Times New Roman" w:hAnsi="Times New Roman"/>
          <w:sz w:val="24"/>
          <w:szCs w:val="24"/>
        </w:rPr>
        <w:t>u řízení vedeného z moci úřední – odpadne-li důvod řízení.</w:t>
      </w:r>
      <w:r w:rsidR="00DB64A5">
        <w:rPr>
          <w:rFonts w:ascii="Times New Roman" w:hAnsi="Times New Roman"/>
          <w:sz w:val="24"/>
          <w:szCs w:val="24"/>
        </w:rPr>
        <w:t xml:space="preserve"> </w:t>
      </w:r>
      <w:r w:rsidRPr="00DE174A">
        <w:rPr>
          <w:rFonts w:ascii="Times New Roman" w:hAnsi="Times New Roman"/>
          <w:sz w:val="24"/>
          <w:szCs w:val="24"/>
        </w:rPr>
        <w:t>O zasta</w:t>
      </w:r>
      <w:r w:rsidR="00DB64A5">
        <w:rPr>
          <w:rFonts w:ascii="Times New Roman" w:hAnsi="Times New Roman"/>
          <w:sz w:val="24"/>
          <w:szCs w:val="24"/>
        </w:rPr>
        <w:t xml:space="preserve">vení řízení se vydává usnesení. </w:t>
      </w:r>
      <w:r w:rsidRPr="00DE174A">
        <w:rPr>
          <w:rFonts w:ascii="Times New Roman" w:hAnsi="Times New Roman"/>
          <w:sz w:val="24"/>
          <w:szCs w:val="24"/>
        </w:rPr>
        <w:t>Pokud je vydáno usnesení o zastavení řízení, které bylo zahájeno na základě žádosti – účastník řízení může proti usnesení podat odvolání. Odvolání proti usnesení nemá odkladný účinek. Pokud je vydáno usnesení o zastavení řízení, které je vedeno z moci úřední – usnesení se pouze poznamená do spisu. Dle uvážení úřední osoby se o tom účastník řízení vhodným způsobem uvědomí. Proti usnesení se nelze odvolat.</w:t>
      </w:r>
    </w:p>
    <w:p w:rsidR="00DE174A" w:rsidRPr="00DE174A" w:rsidRDefault="00DE174A" w:rsidP="00DE174A">
      <w:pPr>
        <w:jc w:val="both"/>
        <w:rPr>
          <w:rFonts w:ascii="Times New Roman" w:hAnsi="Times New Roman"/>
          <w:sz w:val="24"/>
          <w:szCs w:val="24"/>
        </w:rPr>
      </w:pPr>
    </w:p>
    <w:p w:rsidR="00C47EE0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Závěr</w:t>
      </w:r>
    </w:p>
    <w:p w:rsidR="00DE174A" w:rsidRPr="009F0088" w:rsidRDefault="00DE174A" w:rsidP="00DE174A">
      <w:pPr>
        <w:jc w:val="both"/>
        <w:rPr>
          <w:rFonts w:ascii="Times New Roman" w:hAnsi="Times New Roman"/>
          <w:sz w:val="24"/>
          <w:szCs w:val="24"/>
        </w:rPr>
      </w:pPr>
      <w:r w:rsidRPr="00DE174A">
        <w:rPr>
          <w:rFonts w:ascii="Times New Roman" w:hAnsi="Times New Roman"/>
          <w:sz w:val="24"/>
          <w:szCs w:val="24"/>
        </w:rPr>
        <w:t>Správní řízení jako proces (postup) správního orgánu je spojen s mnoho procesními instituty upraveným</w:t>
      </w:r>
      <w:r w:rsidR="00DB64A5">
        <w:rPr>
          <w:rFonts w:ascii="Times New Roman" w:hAnsi="Times New Roman"/>
          <w:sz w:val="24"/>
          <w:szCs w:val="24"/>
        </w:rPr>
        <w:t xml:space="preserve">i v části druhé správního řádu. </w:t>
      </w:r>
      <w:r w:rsidRPr="00DE174A">
        <w:rPr>
          <w:rFonts w:ascii="Times New Roman" w:hAnsi="Times New Roman"/>
          <w:sz w:val="24"/>
          <w:szCs w:val="24"/>
        </w:rPr>
        <w:t xml:space="preserve">Tato prezentace se zaměřila na charakteristiku vybraných institutů správního řízení, které mají své místo </w:t>
      </w:r>
      <w:r w:rsidR="00DB64A5">
        <w:rPr>
          <w:rFonts w:ascii="Times New Roman" w:hAnsi="Times New Roman"/>
          <w:sz w:val="24"/>
          <w:szCs w:val="24"/>
        </w:rPr>
        <w:t>zejména ve správním řízení v 1. </w:t>
      </w:r>
      <w:r w:rsidRPr="00DE174A">
        <w:rPr>
          <w:rFonts w:ascii="Times New Roman" w:hAnsi="Times New Roman"/>
          <w:sz w:val="24"/>
          <w:szCs w:val="24"/>
        </w:rPr>
        <w:t>stupni.</w:t>
      </w:r>
    </w:p>
    <w:sectPr w:rsidR="00DE174A" w:rsidRPr="009F0088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EC" w:rsidRDefault="00D14BEC" w:rsidP="00AD5A85">
      <w:pPr>
        <w:spacing w:after="0" w:line="240" w:lineRule="auto"/>
      </w:pPr>
      <w:r>
        <w:separator/>
      </w:r>
    </w:p>
  </w:endnote>
  <w:endnote w:type="continuationSeparator" w:id="0">
    <w:p w:rsidR="00D14BEC" w:rsidRDefault="00D14BEC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D14B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D14B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EC" w:rsidRDefault="00D14BEC" w:rsidP="00AD5A85">
      <w:pPr>
        <w:spacing w:after="0" w:line="240" w:lineRule="auto"/>
      </w:pPr>
      <w:r>
        <w:separator/>
      </w:r>
    </w:p>
  </w:footnote>
  <w:footnote w:type="continuationSeparator" w:id="0">
    <w:p w:rsidR="00D14BEC" w:rsidRDefault="00D14BEC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725E"/>
    <w:rsid w:val="00093133"/>
    <w:rsid w:val="000A76D4"/>
    <w:rsid w:val="000B055C"/>
    <w:rsid w:val="000E2137"/>
    <w:rsid w:val="000E382D"/>
    <w:rsid w:val="0013130E"/>
    <w:rsid w:val="001414A4"/>
    <w:rsid w:val="001535B9"/>
    <w:rsid w:val="00171349"/>
    <w:rsid w:val="001B7694"/>
    <w:rsid w:val="001D56C7"/>
    <w:rsid w:val="001E68DB"/>
    <w:rsid w:val="00213505"/>
    <w:rsid w:val="002245DF"/>
    <w:rsid w:val="00225FE1"/>
    <w:rsid w:val="00236B33"/>
    <w:rsid w:val="00276207"/>
    <w:rsid w:val="0027722D"/>
    <w:rsid w:val="00297E90"/>
    <w:rsid w:val="002B0E2D"/>
    <w:rsid w:val="002C2BBC"/>
    <w:rsid w:val="002C3CEC"/>
    <w:rsid w:val="002D2E62"/>
    <w:rsid w:val="00396497"/>
    <w:rsid w:val="003A0D5A"/>
    <w:rsid w:val="003A1A04"/>
    <w:rsid w:val="003F22EB"/>
    <w:rsid w:val="0040331C"/>
    <w:rsid w:val="00424E37"/>
    <w:rsid w:val="004272C7"/>
    <w:rsid w:val="004733EC"/>
    <w:rsid w:val="00483D68"/>
    <w:rsid w:val="004E5366"/>
    <w:rsid w:val="00511C20"/>
    <w:rsid w:val="0059235B"/>
    <w:rsid w:val="005B263D"/>
    <w:rsid w:val="005D5AAD"/>
    <w:rsid w:val="005D6E7F"/>
    <w:rsid w:val="005F77ED"/>
    <w:rsid w:val="0060135D"/>
    <w:rsid w:val="006054B5"/>
    <w:rsid w:val="00637BA0"/>
    <w:rsid w:val="006430D2"/>
    <w:rsid w:val="00653A3B"/>
    <w:rsid w:val="0068197B"/>
    <w:rsid w:val="00686374"/>
    <w:rsid w:val="00686F19"/>
    <w:rsid w:val="006C1561"/>
    <w:rsid w:val="00735B1D"/>
    <w:rsid w:val="007561D4"/>
    <w:rsid w:val="007D7EA6"/>
    <w:rsid w:val="007E0B84"/>
    <w:rsid w:val="007E5795"/>
    <w:rsid w:val="008179D7"/>
    <w:rsid w:val="00842745"/>
    <w:rsid w:val="00890237"/>
    <w:rsid w:val="008A434F"/>
    <w:rsid w:val="008B2B68"/>
    <w:rsid w:val="008B30DB"/>
    <w:rsid w:val="008B752C"/>
    <w:rsid w:val="008C1681"/>
    <w:rsid w:val="00902216"/>
    <w:rsid w:val="0091449A"/>
    <w:rsid w:val="00940D9C"/>
    <w:rsid w:val="00952137"/>
    <w:rsid w:val="00955FDF"/>
    <w:rsid w:val="00961D1B"/>
    <w:rsid w:val="00994AD5"/>
    <w:rsid w:val="009C39A2"/>
    <w:rsid w:val="009E162B"/>
    <w:rsid w:val="009F0088"/>
    <w:rsid w:val="00A01A5E"/>
    <w:rsid w:val="00A90521"/>
    <w:rsid w:val="00A93FE2"/>
    <w:rsid w:val="00A97309"/>
    <w:rsid w:val="00AD5A85"/>
    <w:rsid w:val="00B26968"/>
    <w:rsid w:val="00B5019E"/>
    <w:rsid w:val="00B63E16"/>
    <w:rsid w:val="00B76382"/>
    <w:rsid w:val="00BD7CBE"/>
    <w:rsid w:val="00C22043"/>
    <w:rsid w:val="00C33100"/>
    <w:rsid w:val="00C43A1E"/>
    <w:rsid w:val="00C47EE0"/>
    <w:rsid w:val="00C54419"/>
    <w:rsid w:val="00C700EA"/>
    <w:rsid w:val="00C857FA"/>
    <w:rsid w:val="00C93ED4"/>
    <w:rsid w:val="00CA3AB5"/>
    <w:rsid w:val="00CC5479"/>
    <w:rsid w:val="00CD3BBD"/>
    <w:rsid w:val="00D14BEC"/>
    <w:rsid w:val="00D67DB2"/>
    <w:rsid w:val="00DA502C"/>
    <w:rsid w:val="00DA7ABB"/>
    <w:rsid w:val="00DB64A5"/>
    <w:rsid w:val="00DE11D1"/>
    <w:rsid w:val="00DE174A"/>
    <w:rsid w:val="00E115CD"/>
    <w:rsid w:val="00E23ECE"/>
    <w:rsid w:val="00E51802"/>
    <w:rsid w:val="00E53CAB"/>
    <w:rsid w:val="00E56AB3"/>
    <w:rsid w:val="00E73084"/>
    <w:rsid w:val="00E8263B"/>
    <w:rsid w:val="00EB1FFB"/>
    <w:rsid w:val="00EB7AA0"/>
    <w:rsid w:val="00EF3115"/>
    <w:rsid w:val="00F86EA6"/>
    <w:rsid w:val="00F943BB"/>
    <w:rsid w:val="00FA5003"/>
    <w:rsid w:val="00FB7D21"/>
    <w:rsid w:val="00FC7D82"/>
    <w:rsid w:val="00FE0969"/>
    <w:rsid w:val="00FE479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5</cp:revision>
  <dcterms:created xsi:type="dcterms:W3CDTF">2018-07-18T10:35:00Z</dcterms:created>
  <dcterms:modified xsi:type="dcterms:W3CDTF">2018-07-18T11:20:00Z</dcterms:modified>
</cp:coreProperties>
</file>