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2E1F88" w:rsidRPr="002E1F88">
        <w:rPr>
          <w:rFonts w:ascii="Times New Roman" w:hAnsi="Times New Roman"/>
          <w:b/>
          <w:sz w:val="24"/>
          <w:szCs w:val="24"/>
        </w:rPr>
        <w:t>Správní rozhodnutí.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9F5A04">
        <w:rPr>
          <w:rFonts w:ascii="Times New Roman" w:hAnsi="Times New Roman"/>
          <w:sz w:val="24"/>
          <w:szCs w:val="24"/>
        </w:rPr>
        <w:t> rozhodovacím stadiem správního řízení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 xml:space="preserve">v oblasti </w:t>
      </w:r>
      <w:r w:rsidR="009F5A04">
        <w:rPr>
          <w:rFonts w:ascii="Times New Roman" w:hAnsi="Times New Roman"/>
          <w:sz w:val="24"/>
          <w:szCs w:val="24"/>
        </w:rPr>
        <w:t>náležitostí a vlastno</w:t>
      </w:r>
      <w:bookmarkStart w:id="0" w:name="_GoBack"/>
      <w:bookmarkEnd w:id="0"/>
      <w:r w:rsidR="009F5A04">
        <w:rPr>
          <w:rFonts w:ascii="Times New Roman" w:hAnsi="Times New Roman"/>
          <w:sz w:val="24"/>
          <w:szCs w:val="24"/>
        </w:rPr>
        <w:t>stí správních rozhodnutí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3334E" w:rsidRDefault="0053334E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Definujte pojem rozhodnutí ve správním řízení. </w:t>
      </w:r>
    </w:p>
    <w:p w:rsidR="0053334E" w:rsidRDefault="0053334E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Najděte příklady konkrétních rozhodnutí ve správních řízeních.</w:t>
      </w:r>
    </w:p>
    <w:p w:rsidR="00940D9C" w:rsidRPr="00D67DB2" w:rsidRDefault="0053334E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Odlište náležitosti rozhodnutí od vlastností rozhodnutí.</w:t>
      </w:r>
      <w:r w:rsidR="002E1F88">
        <w:rPr>
          <w:rFonts w:ascii="Times New Roman" w:hAnsi="Times New Roman"/>
          <w:sz w:val="24"/>
          <w:szCs w:val="24"/>
        </w:rPr>
        <w:t xml:space="preserve">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D6E7F" w:rsidRDefault="005D6E7F" w:rsidP="005D6E7F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PRŮCHA, Petr. </w:t>
      </w:r>
      <w:r w:rsidRPr="005D6E7F">
        <w:rPr>
          <w:rFonts w:ascii="Times New Roman" w:hAnsi="Times New Roman"/>
          <w:i/>
          <w:sz w:val="24"/>
          <w:szCs w:val="24"/>
        </w:rPr>
        <w:t>Správní řád: s poznámkami a judikaturou: podle stavu k 1. 7. 2017.</w:t>
      </w:r>
      <w:r>
        <w:rPr>
          <w:rFonts w:ascii="Times New Roman" w:hAnsi="Times New Roman"/>
          <w:sz w:val="24"/>
          <w:szCs w:val="24"/>
        </w:rPr>
        <w:t xml:space="preserve"> 3. </w:t>
      </w:r>
      <w:r w:rsidRPr="005D6E7F">
        <w:rPr>
          <w:rFonts w:ascii="Times New Roman" w:hAnsi="Times New Roman"/>
          <w:sz w:val="24"/>
          <w:szCs w:val="24"/>
        </w:rPr>
        <w:t xml:space="preserve">aktualizované a doplněné vydání. Praha: </w:t>
      </w:r>
      <w:proofErr w:type="spellStart"/>
      <w:r w:rsidRPr="005D6E7F">
        <w:rPr>
          <w:rFonts w:ascii="Times New Roman" w:hAnsi="Times New Roman"/>
          <w:sz w:val="24"/>
          <w:szCs w:val="24"/>
        </w:rPr>
        <w:t>Leges</w:t>
      </w:r>
      <w:proofErr w:type="spellEnd"/>
      <w:r w:rsidRPr="005D6E7F">
        <w:rPr>
          <w:rFonts w:ascii="Times New Roman" w:hAnsi="Times New Roman"/>
          <w:sz w:val="24"/>
          <w:szCs w:val="24"/>
        </w:rPr>
        <w:t>, 2017. Glosátor. ISBN 978-80-7502-202-8.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Úvod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1. Rozhodovací stadium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2. Náležitosti rozhodnutí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3. Vlastnosti rozhodnutí</w:t>
      </w:r>
    </w:p>
    <w:p w:rsidR="00DE174A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Závěr</w:t>
      </w:r>
    </w:p>
    <w:p w:rsidR="00D67DB2" w:rsidRDefault="00D67DB2" w:rsidP="00DE174A">
      <w:pPr>
        <w:jc w:val="both"/>
        <w:rPr>
          <w:rFonts w:ascii="Times New Roman" w:hAnsi="Times New Roman"/>
          <w:sz w:val="24"/>
          <w:szCs w:val="24"/>
        </w:rPr>
      </w:pPr>
    </w:p>
    <w:p w:rsidR="0053334E" w:rsidRDefault="0053334E" w:rsidP="00DE174A">
      <w:pPr>
        <w:jc w:val="both"/>
        <w:rPr>
          <w:rFonts w:ascii="Times New Roman" w:hAnsi="Times New Roman"/>
          <w:sz w:val="24"/>
          <w:szCs w:val="24"/>
        </w:rPr>
      </w:pPr>
    </w:p>
    <w:p w:rsid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Úvod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Rozhodnutí ve správním řízení patří mezi základní pojmy správního řízení a jeho vydání je cílem správního řízení. K jeho vydání dochází v tzv. rozhodovacím stadiu správního řízení.</w:t>
      </w:r>
    </w:p>
    <w:p w:rsidR="0053334E" w:rsidRDefault="0053334E" w:rsidP="002E1F88">
      <w:pPr>
        <w:jc w:val="both"/>
        <w:rPr>
          <w:rFonts w:ascii="Times New Roman" w:hAnsi="Times New Roman"/>
          <w:sz w:val="24"/>
          <w:szCs w:val="24"/>
        </w:rPr>
      </w:pPr>
    </w:p>
    <w:p w:rsid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1. Rozhodovací stadium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04A45">
        <w:rPr>
          <w:rFonts w:ascii="Times New Roman" w:hAnsi="Times New Roman"/>
          <w:b/>
          <w:sz w:val="24"/>
          <w:szCs w:val="24"/>
        </w:rPr>
        <w:lastRenderedPageBreak/>
        <w:t>Rozhodovací stadium správního řízení</w:t>
      </w:r>
      <w:r w:rsidRPr="002E1F88">
        <w:rPr>
          <w:rFonts w:ascii="Times New Roman" w:hAnsi="Times New Roman"/>
          <w:sz w:val="24"/>
          <w:szCs w:val="24"/>
        </w:rPr>
        <w:t xml:space="preserve"> je jeho stadiem nejvýznamnějším, v němž je vyjádřen účel a podstata celého rozhodovacího procesu, tj. vydání autoritativního rozhodnutí správním orgánem (služebním orgánem). </w:t>
      </w:r>
    </w:p>
    <w:p w:rsidR="002E1F88" w:rsidRP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04A45">
        <w:rPr>
          <w:rFonts w:ascii="Times New Roman" w:hAnsi="Times New Roman"/>
          <w:b/>
          <w:sz w:val="24"/>
          <w:szCs w:val="24"/>
        </w:rPr>
        <w:t xml:space="preserve">Správní rozhodnutí ve věci samé (meritorní), </w:t>
      </w:r>
      <w:r w:rsidRPr="002E1F88">
        <w:rPr>
          <w:rFonts w:ascii="Times New Roman" w:hAnsi="Times New Roman"/>
          <w:sz w:val="24"/>
          <w:szCs w:val="24"/>
        </w:rPr>
        <w:t>jež má povahu individuálního správního aktu, je cílem správního řízení.</w:t>
      </w:r>
      <w:r w:rsidRPr="002E1F88">
        <w:t xml:space="preserve"> </w:t>
      </w:r>
      <w:r w:rsidRPr="002E1F88">
        <w:rPr>
          <w:rFonts w:ascii="Times New Roman" w:hAnsi="Times New Roman"/>
          <w:sz w:val="24"/>
          <w:szCs w:val="24"/>
        </w:rPr>
        <w:t>V případě rozhodnutí ve správním řízení se jedná o akt aplikace práva realizovaný správním orgánem (služebním orgánem).</w:t>
      </w:r>
    </w:p>
    <w:p w:rsid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Rozhodnutí v dané věci zakládá, mění nebo ruší práva a povinnosti účastníka řízení (konstitutivní r.) nebo v určité věci prohlašuje, že taková osoba práva nebo povinnosti má anebo nemá (deklaratorní r.), nebo v zákonem stanovených případech rozhoduje o procesních otázkách (namísto usnesení).</w:t>
      </w:r>
    </w:p>
    <w:p w:rsidR="002E1F88" w:rsidRPr="002E1F88" w:rsidRDefault="00204A45" w:rsidP="002E1F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hlediska formy rozhodnutí je potřeba zdůraznit, že</w:t>
      </w:r>
      <w:r w:rsidR="002E1F88" w:rsidRPr="002E1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rozhodnutí </w:t>
      </w:r>
      <w:r w:rsidR="0053334E">
        <w:rPr>
          <w:rFonts w:ascii="Times New Roman" w:hAnsi="Times New Roman"/>
          <w:sz w:val="24"/>
          <w:szCs w:val="24"/>
        </w:rPr>
        <w:t>vyhotovuje v zásadě v </w:t>
      </w:r>
      <w:r w:rsidR="002E1F88" w:rsidRPr="00204A45">
        <w:rPr>
          <w:rFonts w:ascii="Times New Roman" w:hAnsi="Times New Roman"/>
          <w:sz w:val="24"/>
          <w:szCs w:val="24"/>
        </w:rPr>
        <w:t xml:space="preserve">písemné formě. </w:t>
      </w:r>
      <w:r>
        <w:rPr>
          <w:rFonts w:ascii="Times New Roman" w:hAnsi="Times New Roman"/>
          <w:sz w:val="24"/>
          <w:szCs w:val="24"/>
        </w:rPr>
        <w:t>Ro</w:t>
      </w:r>
      <w:r w:rsidRPr="00204A45">
        <w:rPr>
          <w:rFonts w:ascii="Times New Roman" w:hAnsi="Times New Roman"/>
          <w:sz w:val="24"/>
          <w:szCs w:val="24"/>
        </w:rPr>
        <w:t>zhodnutí se písemně nevyhotovuje, stanoví-li tak zákon; výroková část takového rozhodnutí, podstatné části jeho odůvodnění a poučení o opravném prostředku se pouze vyhlásí a do spisu se učiní záznam, který obsahuje výrokovou část, odůvodnění, datum vydání, číslo jednací, datum vyhotovení, otisk úředního razítka, jméno, příjmení, funkci nebo služební číslo a podpis oprávněné úřední osoby.</w:t>
      </w:r>
    </w:p>
    <w:p w:rsidR="00204A45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E1F88" w:rsidRPr="002E1F88">
        <w:rPr>
          <w:rFonts w:ascii="Times New Roman" w:hAnsi="Times New Roman"/>
          <w:sz w:val="24"/>
          <w:szCs w:val="24"/>
        </w:rPr>
        <w:t>ozhodnutí je třeba vydat bez zbytečného odkladu, pokud nelze rozhodnutí takto vydat, tak do 30 dnů ode dne zahájení říze</w:t>
      </w:r>
      <w:r>
        <w:rPr>
          <w:rFonts w:ascii="Times New Roman" w:hAnsi="Times New Roman"/>
          <w:sz w:val="24"/>
          <w:szCs w:val="24"/>
        </w:rPr>
        <w:t xml:space="preserve">ní, resp. do 60 dnů (§ 71 SŘ). </w:t>
      </w:r>
      <w:r w:rsidR="002E1F88" w:rsidRPr="002E1F88">
        <w:rPr>
          <w:rFonts w:ascii="Times New Roman" w:hAnsi="Times New Roman"/>
          <w:sz w:val="24"/>
          <w:szCs w:val="24"/>
        </w:rPr>
        <w:t>Vydáním rozhodnutí se rozumí předání stejnopisu rozhodnutí k doručení.</w:t>
      </w:r>
      <w:r>
        <w:rPr>
          <w:rFonts w:ascii="Times New Roman" w:hAnsi="Times New Roman"/>
          <w:sz w:val="24"/>
          <w:szCs w:val="24"/>
        </w:rPr>
        <w:t xml:space="preserve"> </w:t>
      </w:r>
      <w:r w:rsidR="006F715C" w:rsidRPr="006F715C">
        <w:rPr>
          <w:rFonts w:ascii="Times New Roman" w:hAnsi="Times New Roman"/>
          <w:sz w:val="24"/>
          <w:szCs w:val="24"/>
        </w:rPr>
        <w:t>Oznamování rozhodnutí</w:t>
      </w:r>
      <w:r>
        <w:rPr>
          <w:rFonts w:ascii="Times New Roman" w:hAnsi="Times New Roman"/>
          <w:sz w:val="24"/>
          <w:szCs w:val="24"/>
        </w:rPr>
        <w:t xml:space="preserve"> se děje </w:t>
      </w:r>
      <w:r w:rsidR="006F715C" w:rsidRPr="006F715C">
        <w:rPr>
          <w:rFonts w:ascii="Times New Roman" w:hAnsi="Times New Roman"/>
          <w:sz w:val="24"/>
          <w:szCs w:val="24"/>
        </w:rPr>
        <w:t>doručením stejnopisu písemného vyhotovení do vlastních rukou nebo ústním vyhlášením, lze i pou</w:t>
      </w:r>
      <w:r>
        <w:rPr>
          <w:rFonts w:ascii="Times New Roman" w:hAnsi="Times New Roman"/>
          <w:sz w:val="24"/>
          <w:szCs w:val="24"/>
        </w:rPr>
        <w:t xml:space="preserve">ze záznamem do spisu (§ 72 SŘ). </w:t>
      </w:r>
    </w:p>
    <w:p w:rsidR="006F715C" w:rsidRPr="006F715C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je možno charakterizovat zvláštní formu</w:t>
      </w:r>
      <w:r w:rsidR="006F715C" w:rsidRPr="006F715C">
        <w:rPr>
          <w:rFonts w:ascii="Times New Roman" w:hAnsi="Times New Roman"/>
          <w:sz w:val="24"/>
          <w:szCs w:val="24"/>
        </w:rPr>
        <w:t xml:space="preserve"> rozhodov</w:t>
      </w:r>
      <w:r w:rsidR="0053334E">
        <w:rPr>
          <w:rFonts w:ascii="Times New Roman" w:hAnsi="Times New Roman"/>
          <w:sz w:val="24"/>
          <w:szCs w:val="24"/>
        </w:rPr>
        <w:t>ání o procesních otázkách (§ 76 </w:t>
      </w:r>
      <w:r w:rsidR="006F715C" w:rsidRPr="006F715C">
        <w:rPr>
          <w:rFonts w:ascii="Times New Roman" w:hAnsi="Times New Roman"/>
          <w:sz w:val="24"/>
          <w:szCs w:val="24"/>
        </w:rPr>
        <w:t>SŘ).</w:t>
      </w:r>
    </w:p>
    <w:p w:rsidR="006F715C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Nicotné rozhodnutí je</w:t>
      </w:r>
      <w:r w:rsidR="006F715C" w:rsidRPr="006F715C">
        <w:rPr>
          <w:rFonts w:ascii="Times New Roman" w:hAnsi="Times New Roman"/>
          <w:sz w:val="24"/>
          <w:szCs w:val="24"/>
        </w:rPr>
        <w:t xml:space="preserve"> rozhodnutí, k jehož vydání nebyl správ</w:t>
      </w:r>
      <w:r>
        <w:rPr>
          <w:rFonts w:ascii="Times New Roman" w:hAnsi="Times New Roman"/>
          <w:sz w:val="24"/>
          <w:szCs w:val="24"/>
        </w:rPr>
        <w:t xml:space="preserve">ní orgán vůbec věcně příslušný. </w:t>
      </w:r>
      <w:r w:rsidR="006F715C" w:rsidRPr="006F715C">
        <w:rPr>
          <w:rFonts w:ascii="Times New Roman" w:hAnsi="Times New Roman"/>
          <w:sz w:val="24"/>
          <w:szCs w:val="24"/>
        </w:rPr>
        <w:t>Nicotnost se zjišť</w:t>
      </w:r>
      <w:r>
        <w:rPr>
          <w:rFonts w:ascii="Times New Roman" w:hAnsi="Times New Roman"/>
          <w:sz w:val="24"/>
          <w:szCs w:val="24"/>
        </w:rPr>
        <w:t>uje a prohlašuje z moci úřední a je</w:t>
      </w:r>
      <w:r w:rsidR="006F715C" w:rsidRPr="006F7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dána </w:t>
      </w:r>
      <w:r w:rsidR="006F715C" w:rsidRPr="006F715C">
        <w:rPr>
          <w:rFonts w:ascii="Times New Roman" w:hAnsi="Times New Roman"/>
          <w:sz w:val="24"/>
          <w:szCs w:val="24"/>
        </w:rPr>
        <w:t>možnost podnětu.</w:t>
      </w:r>
    </w:p>
    <w:p w:rsidR="006F715C" w:rsidRPr="002E1F88" w:rsidRDefault="006F715C" w:rsidP="006F715C">
      <w:pPr>
        <w:jc w:val="both"/>
        <w:rPr>
          <w:rFonts w:ascii="Times New Roman" w:hAnsi="Times New Roman"/>
          <w:sz w:val="24"/>
          <w:szCs w:val="24"/>
        </w:rPr>
      </w:pPr>
      <w:r w:rsidRPr="006F715C">
        <w:rPr>
          <w:rFonts w:ascii="Times New Roman" w:hAnsi="Times New Roman"/>
          <w:sz w:val="24"/>
          <w:szCs w:val="24"/>
        </w:rPr>
        <w:t>V rozhodovacím stadiu se rozhoduje tak</w:t>
      </w:r>
      <w:r w:rsidR="00204A45">
        <w:rPr>
          <w:rFonts w:ascii="Times New Roman" w:hAnsi="Times New Roman"/>
          <w:sz w:val="24"/>
          <w:szCs w:val="24"/>
        </w:rPr>
        <w:t xml:space="preserve">é o nákladech řízení (§ 79 SŘ). </w:t>
      </w:r>
      <w:r w:rsidRPr="006F715C">
        <w:rPr>
          <w:rFonts w:ascii="Times New Roman" w:hAnsi="Times New Roman"/>
          <w:sz w:val="24"/>
          <w:szCs w:val="24"/>
        </w:rPr>
        <w:t xml:space="preserve">Náklady řízení jsou zejména hotové výdaje účastníků a jejich zástupců, včetně správního poplatku, ušlý výdělek účastníků a jejich zákonných zástupců, náklady důkazů, </w:t>
      </w:r>
      <w:proofErr w:type="spellStart"/>
      <w:r w:rsidRPr="006F715C">
        <w:rPr>
          <w:rFonts w:ascii="Times New Roman" w:hAnsi="Times New Roman"/>
          <w:sz w:val="24"/>
          <w:szCs w:val="24"/>
        </w:rPr>
        <w:t>tl</w:t>
      </w:r>
      <w:r w:rsidR="00204A45">
        <w:rPr>
          <w:rFonts w:ascii="Times New Roman" w:hAnsi="Times New Roman"/>
          <w:sz w:val="24"/>
          <w:szCs w:val="24"/>
        </w:rPr>
        <w:t>umočné</w:t>
      </w:r>
      <w:proofErr w:type="spellEnd"/>
      <w:r w:rsidR="00204A45">
        <w:rPr>
          <w:rFonts w:ascii="Times New Roman" w:hAnsi="Times New Roman"/>
          <w:sz w:val="24"/>
          <w:szCs w:val="24"/>
        </w:rPr>
        <w:t xml:space="preserve"> a odměna za zastupování. </w:t>
      </w:r>
      <w:r w:rsidRPr="006F715C">
        <w:rPr>
          <w:rFonts w:ascii="Times New Roman" w:hAnsi="Times New Roman"/>
          <w:sz w:val="24"/>
          <w:szCs w:val="24"/>
        </w:rPr>
        <w:t>Nestanoví-li zákon jinak, nese správní orgán nebo dotčený orgán a účastník své náklady.</w:t>
      </w:r>
    </w:p>
    <w:p w:rsidR="006F715C" w:rsidRDefault="006F715C" w:rsidP="002E1F88">
      <w:pPr>
        <w:jc w:val="both"/>
        <w:rPr>
          <w:rFonts w:ascii="Times New Roman" w:hAnsi="Times New Roman"/>
          <w:sz w:val="24"/>
          <w:szCs w:val="24"/>
        </w:rPr>
      </w:pPr>
    </w:p>
    <w:p w:rsid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2. Náležitosti rozhodnutí</w:t>
      </w:r>
    </w:p>
    <w:p w:rsidR="0053334E" w:rsidRDefault="0053334E" w:rsidP="00533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</w:t>
      </w:r>
      <w:r w:rsidRPr="0053334E">
        <w:rPr>
          <w:rFonts w:ascii="Times New Roman" w:hAnsi="Times New Roman"/>
          <w:b/>
          <w:sz w:val="24"/>
          <w:szCs w:val="24"/>
        </w:rPr>
        <w:t xml:space="preserve">tzv. formální náležitosti rozhodnutí </w:t>
      </w:r>
      <w:r>
        <w:rPr>
          <w:rFonts w:ascii="Times New Roman" w:hAnsi="Times New Roman"/>
          <w:sz w:val="24"/>
          <w:szCs w:val="24"/>
        </w:rPr>
        <w:t xml:space="preserve">patří dle § 69 SŘ </w:t>
      </w:r>
      <w:r w:rsidRPr="006F715C">
        <w:rPr>
          <w:rFonts w:ascii="Times New Roman" w:hAnsi="Times New Roman"/>
          <w:sz w:val="24"/>
          <w:szCs w:val="24"/>
        </w:rPr>
        <w:t>uvedení orgánu, který rozhodnutí vydal</w:t>
      </w:r>
      <w:r>
        <w:rPr>
          <w:rFonts w:ascii="Times New Roman" w:hAnsi="Times New Roman"/>
          <w:sz w:val="24"/>
          <w:szCs w:val="24"/>
        </w:rPr>
        <w:t xml:space="preserve">, datum vydání rozhodnutí, </w:t>
      </w:r>
      <w:r w:rsidRPr="006F715C">
        <w:rPr>
          <w:rFonts w:ascii="Times New Roman" w:hAnsi="Times New Roman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éno a příjmení účastníků řízení, úřední razítko, </w:t>
      </w:r>
      <w:r w:rsidRPr="006F715C">
        <w:rPr>
          <w:rFonts w:ascii="Times New Roman" w:hAnsi="Times New Roman"/>
          <w:sz w:val="24"/>
          <w:szCs w:val="24"/>
        </w:rPr>
        <w:t>podpis s uvedením jména, příjmení a funkce oprávněné úřední osoby</w:t>
      </w:r>
      <w:r>
        <w:rPr>
          <w:rFonts w:ascii="Times New Roman" w:hAnsi="Times New Roman"/>
          <w:sz w:val="24"/>
          <w:szCs w:val="24"/>
        </w:rPr>
        <w:t>.</w:t>
      </w:r>
    </w:p>
    <w:p w:rsidR="002E1F88" w:rsidRDefault="006F715C" w:rsidP="006F715C">
      <w:pPr>
        <w:jc w:val="both"/>
        <w:rPr>
          <w:rFonts w:ascii="Times New Roman" w:hAnsi="Times New Roman"/>
          <w:sz w:val="24"/>
          <w:szCs w:val="24"/>
        </w:rPr>
      </w:pPr>
      <w:r w:rsidRPr="006F715C">
        <w:rPr>
          <w:rFonts w:ascii="Times New Roman" w:hAnsi="Times New Roman"/>
          <w:sz w:val="24"/>
          <w:szCs w:val="24"/>
        </w:rPr>
        <w:t xml:space="preserve">Rozhodnutí obsahuje kromě formálních náležitostí také </w:t>
      </w:r>
      <w:r w:rsidRPr="0053334E">
        <w:rPr>
          <w:rFonts w:ascii="Times New Roman" w:hAnsi="Times New Roman"/>
          <w:b/>
          <w:sz w:val="24"/>
          <w:szCs w:val="24"/>
        </w:rPr>
        <w:t>náležitost</w:t>
      </w:r>
      <w:r w:rsidR="00204A45" w:rsidRPr="0053334E">
        <w:rPr>
          <w:rFonts w:ascii="Times New Roman" w:hAnsi="Times New Roman"/>
          <w:b/>
          <w:sz w:val="24"/>
          <w:szCs w:val="24"/>
        </w:rPr>
        <w:t>i obsahové.</w:t>
      </w:r>
      <w:r w:rsidR="00204A45">
        <w:rPr>
          <w:rFonts w:ascii="Times New Roman" w:hAnsi="Times New Roman"/>
          <w:sz w:val="24"/>
          <w:szCs w:val="24"/>
        </w:rPr>
        <w:t xml:space="preserve"> </w:t>
      </w:r>
      <w:r w:rsidRPr="006F715C">
        <w:rPr>
          <w:rFonts w:ascii="Times New Roman" w:hAnsi="Times New Roman"/>
          <w:sz w:val="24"/>
          <w:szCs w:val="24"/>
        </w:rPr>
        <w:t>Mezi tyto obsahové náležitosti rozhodnutí patří</w:t>
      </w:r>
      <w:r w:rsidR="00204A45">
        <w:rPr>
          <w:rFonts w:ascii="Times New Roman" w:hAnsi="Times New Roman"/>
          <w:sz w:val="24"/>
          <w:szCs w:val="24"/>
        </w:rPr>
        <w:t xml:space="preserve"> (</w:t>
      </w:r>
      <w:r w:rsidR="00204A45" w:rsidRPr="006F715C">
        <w:rPr>
          <w:rFonts w:ascii="Times New Roman" w:hAnsi="Times New Roman"/>
          <w:sz w:val="24"/>
          <w:szCs w:val="24"/>
        </w:rPr>
        <w:t>§ 68 SŘ</w:t>
      </w:r>
      <w:r w:rsidR="00204A45">
        <w:rPr>
          <w:rFonts w:ascii="Times New Roman" w:hAnsi="Times New Roman"/>
          <w:sz w:val="24"/>
          <w:szCs w:val="24"/>
        </w:rPr>
        <w:t xml:space="preserve">) výroková část, odůvodnění a </w:t>
      </w:r>
      <w:r w:rsidRPr="006F715C">
        <w:rPr>
          <w:rFonts w:ascii="Times New Roman" w:hAnsi="Times New Roman"/>
          <w:sz w:val="24"/>
          <w:szCs w:val="24"/>
        </w:rPr>
        <w:t>poučení účastníků.</w:t>
      </w:r>
    </w:p>
    <w:p w:rsidR="006F715C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 w:rsidRPr="00204A45">
        <w:rPr>
          <w:rFonts w:ascii="Times New Roman" w:hAnsi="Times New Roman"/>
          <w:b/>
          <w:sz w:val="24"/>
          <w:szCs w:val="24"/>
        </w:rPr>
        <w:lastRenderedPageBreak/>
        <w:t>Výroková část</w:t>
      </w:r>
      <w:r>
        <w:rPr>
          <w:rFonts w:ascii="Times New Roman" w:hAnsi="Times New Roman"/>
          <w:sz w:val="24"/>
          <w:szCs w:val="24"/>
        </w:rPr>
        <w:t xml:space="preserve"> uvádí </w:t>
      </w:r>
      <w:r w:rsidR="006F715C" w:rsidRPr="006F715C">
        <w:rPr>
          <w:rFonts w:ascii="Times New Roman" w:hAnsi="Times New Roman"/>
          <w:sz w:val="24"/>
          <w:szCs w:val="24"/>
        </w:rPr>
        <w:t>řešení otázky, která je předmětem řízení; právní ustanovení, podle nichž bylo rozhodováno; označení účastníka řízení; lhůta ke splnění povinnosti, popř. též jiné údaje potřebné k jejímu řádnému splnění</w:t>
      </w:r>
      <w:r>
        <w:rPr>
          <w:rFonts w:ascii="Times New Roman" w:hAnsi="Times New Roman"/>
          <w:sz w:val="24"/>
          <w:szCs w:val="24"/>
        </w:rPr>
        <w:t>.</w:t>
      </w:r>
    </w:p>
    <w:p w:rsidR="006F715C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 w:rsidRPr="00204A45">
        <w:rPr>
          <w:rFonts w:ascii="Times New Roman" w:hAnsi="Times New Roman"/>
          <w:b/>
          <w:sz w:val="24"/>
          <w:szCs w:val="24"/>
        </w:rPr>
        <w:t>Odůvodnění</w:t>
      </w:r>
      <w:r>
        <w:rPr>
          <w:rFonts w:ascii="Times New Roman" w:hAnsi="Times New Roman"/>
          <w:sz w:val="24"/>
          <w:szCs w:val="24"/>
        </w:rPr>
        <w:t xml:space="preserve"> obsahuje důvody výroku, podklady pro jeho vydání, </w:t>
      </w:r>
      <w:r w:rsidR="006F715C" w:rsidRPr="006F715C">
        <w:rPr>
          <w:rFonts w:ascii="Times New Roman" w:hAnsi="Times New Roman"/>
          <w:sz w:val="24"/>
          <w:szCs w:val="24"/>
        </w:rPr>
        <w:t>úvahy, kterými se služební orgán řídil při jejich hodnocení a při výkladu právních předpisů,</w:t>
      </w:r>
      <w:r>
        <w:rPr>
          <w:rFonts w:ascii="Times New Roman" w:hAnsi="Times New Roman"/>
          <w:sz w:val="24"/>
          <w:szCs w:val="24"/>
        </w:rPr>
        <w:t xml:space="preserve"> </w:t>
      </w:r>
      <w:r w:rsidR="006F715C" w:rsidRPr="006F715C">
        <w:rPr>
          <w:rFonts w:ascii="Times New Roman" w:hAnsi="Times New Roman"/>
          <w:sz w:val="24"/>
          <w:szCs w:val="24"/>
        </w:rPr>
        <w:t>informace o tom, jak se služební orgán vypořádal s návrhy a námitkami účastníků a s jejich vyjádřením k podkladům rozhodnutí</w:t>
      </w:r>
      <w:r>
        <w:rPr>
          <w:rFonts w:ascii="Times New Roman" w:hAnsi="Times New Roman"/>
          <w:sz w:val="24"/>
          <w:szCs w:val="24"/>
        </w:rPr>
        <w:t>. M</w:t>
      </w:r>
      <w:r w:rsidR="006F715C" w:rsidRPr="006F715C">
        <w:rPr>
          <w:rFonts w:ascii="Times New Roman" w:hAnsi="Times New Roman"/>
          <w:sz w:val="24"/>
          <w:szCs w:val="24"/>
        </w:rPr>
        <w:t>á přesvědčit účastníka o správnosti rozhodnutí, umožnit účastníkovi ujasnit si, proti čemu má směřovat odvolání</w:t>
      </w:r>
      <w:r>
        <w:rPr>
          <w:rFonts w:ascii="Times New Roman" w:hAnsi="Times New Roman"/>
          <w:sz w:val="24"/>
          <w:szCs w:val="24"/>
        </w:rPr>
        <w:t>.</w:t>
      </w:r>
    </w:p>
    <w:p w:rsidR="006F715C" w:rsidRDefault="00204A45" w:rsidP="006F715C">
      <w:pPr>
        <w:jc w:val="both"/>
        <w:rPr>
          <w:rFonts w:ascii="Times New Roman" w:hAnsi="Times New Roman"/>
          <w:sz w:val="24"/>
          <w:szCs w:val="24"/>
        </w:rPr>
      </w:pPr>
      <w:r w:rsidRPr="0053334E">
        <w:rPr>
          <w:rFonts w:ascii="Times New Roman" w:hAnsi="Times New Roman"/>
          <w:b/>
          <w:sz w:val="24"/>
          <w:szCs w:val="24"/>
        </w:rPr>
        <w:t>Poučení účastníka</w:t>
      </w:r>
      <w:r>
        <w:rPr>
          <w:rFonts w:ascii="Times New Roman" w:hAnsi="Times New Roman"/>
          <w:sz w:val="24"/>
          <w:szCs w:val="24"/>
        </w:rPr>
        <w:t xml:space="preserve"> zakotvuje, zda</w:t>
      </w:r>
      <w:r w:rsidR="006F715C" w:rsidRPr="006F7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lze </w:t>
      </w:r>
      <w:r w:rsidR="006F715C" w:rsidRPr="006F715C">
        <w:rPr>
          <w:rFonts w:ascii="Times New Roman" w:hAnsi="Times New Roman"/>
          <w:sz w:val="24"/>
          <w:szCs w:val="24"/>
        </w:rPr>
        <w:t>podat odvolání, v jaké lhůtě, od kterého dne se tato lhůta počítá, kdo je odvolacím orgá</w:t>
      </w:r>
      <w:r>
        <w:rPr>
          <w:rFonts w:ascii="Times New Roman" w:hAnsi="Times New Roman"/>
          <w:sz w:val="24"/>
          <w:szCs w:val="24"/>
        </w:rPr>
        <w:t xml:space="preserve">nem a u koho se odvolání podává, přičemž </w:t>
      </w:r>
      <w:r w:rsidR="0053334E">
        <w:rPr>
          <w:rFonts w:ascii="Times New Roman" w:hAnsi="Times New Roman"/>
          <w:sz w:val="24"/>
          <w:szCs w:val="24"/>
        </w:rPr>
        <w:t>nesmí chybět v </w:t>
      </w:r>
      <w:r w:rsidR="006F715C" w:rsidRPr="006F715C">
        <w:rPr>
          <w:rFonts w:ascii="Times New Roman" w:hAnsi="Times New Roman"/>
          <w:sz w:val="24"/>
          <w:szCs w:val="24"/>
        </w:rPr>
        <w:t>žádném rozhodnutí</w:t>
      </w:r>
      <w:r>
        <w:rPr>
          <w:rFonts w:ascii="Times New Roman" w:hAnsi="Times New Roman"/>
          <w:sz w:val="24"/>
          <w:szCs w:val="24"/>
        </w:rPr>
        <w:t>.</w:t>
      </w:r>
    </w:p>
    <w:p w:rsidR="006F715C" w:rsidRPr="002E1F88" w:rsidRDefault="006F715C" w:rsidP="006F715C">
      <w:pPr>
        <w:jc w:val="both"/>
        <w:rPr>
          <w:rFonts w:ascii="Times New Roman" w:hAnsi="Times New Roman"/>
          <w:sz w:val="24"/>
          <w:szCs w:val="24"/>
        </w:rPr>
      </w:pPr>
    </w:p>
    <w:p w:rsidR="002E1F88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3. Vlastnosti rozhodnutí</w:t>
      </w:r>
    </w:p>
    <w:p w:rsidR="002E1F88" w:rsidRDefault="0053334E" w:rsidP="006F715C">
      <w:pPr>
        <w:jc w:val="both"/>
        <w:rPr>
          <w:rFonts w:ascii="Times New Roman" w:hAnsi="Times New Roman"/>
          <w:sz w:val="24"/>
          <w:szCs w:val="24"/>
        </w:rPr>
      </w:pPr>
      <w:r w:rsidRPr="0053334E">
        <w:rPr>
          <w:rFonts w:ascii="Times New Roman" w:hAnsi="Times New Roman"/>
          <w:b/>
          <w:sz w:val="24"/>
          <w:szCs w:val="24"/>
        </w:rPr>
        <w:t>Právní moc</w:t>
      </w:r>
      <w:r>
        <w:rPr>
          <w:rFonts w:ascii="Times New Roman" w:hAnsi="Times New Roman"/>
          <w:sz w:val="24"/>
          <w:szCs w:val="24"/>
        </w:rPr>
        <w:t xml:space="preserve"> je </w:t>
      </w:r>
      <w:r w:rsidR="006F715C" w:rsidRPr="006F715C">
        <w:rPr>
          <w:rFonts w:ascii="Times New Roman" w:hAnsi="Times New Roman"/>
          <w:sz w:val="24"/>
          <w:szCs w:val="24"/>
        </w:rPr>
        <w:t>vlastnost</w:t>
      </w:r>
      <w:r>
        <w:rPr>
          <w:rFonts w:ascii="Times New Roman" w:hAnsi="Times New Roman"/>
          <w:sz w:val="24"/>
          <w:szCs w:val="24"/>
        </w:rPr>
        <w:t>í</w:t>
      </w:r>
      <w:r w:rsidR="006F715C" w:rsidRPr="006F715C">
        <w:rPr>
          <w:rFonts w:ascii="Times New Roman" w:hAnsi="Times New Roman"/>
          <w:sz w:val="24"/>
          <w:szCs w:val="24"/>
        </w:rPr>
        <w:t xml:space="preserve"> rozhodnutí spočívající</w:t>
      </w:r>
      <w:r>
        <w:rPr>
          <w:rFonts w:ascii="Times New Roman" w:hAnsi="Times New Roman"/>
          <w:sz w:val="24"/>
          <w:szCs w:val="24"/>
        </w:rPr>
        <w:t xml:space="preserve"> v jeho konečnosti, závaznost a </w:t>
      </w:r>
      <w:r w:rsidR="006F715C" w:rsidRPr="006F715C">
        <w:rPr>
          <w:rFonts w:ascii="Times New Roman" w:hAnsi="Times New Roman"/>
          <w:sz w:val="24"/>
          <w:szCs w:val="24"/>
        </w:rPr>
        <w:t>nezměnitelnosti; v právní moci rozhodnutí, které bylo oznámeno a proti kterému nelze podat odvolání (mimořádné opravné prostředky jsou m</w:t>
      </w:r>
      <w:r>
        <w:rPr>
          <w:rFonts w:ascii="Times New Roman" w:hAnsi="Times New Roman"/>
          <w:sz w:val="24"/>
          <w:szCs w:val="24"/>
        </w:rPr>
        <w:t xml:space="preserve">ožné: přezkum, obnova řízení). </w:t>
      </w:r>
      <w:r w:rsidRPr="0053334E">
        <w:rPr>
          <w:rFonts w:ascii="Times New Roman" w:hAnsi="Times New Roman"/>
          <w:b/>
          <w:sz w:val="24"/>
          <w:szCs w:val="24"/>
        </w:rPr>
        <w:t>Vykonatelnost</w:t>
      </w:r>
      <w:r>
        <w:rPr>
          <w:rFonts w:ascii="Times New Roman" w:hAnsi="Times New Roman"/>
          <w:sz w:val="24"/>
          <w:szCs w:val="24"/>
        </w:rPr>
        <w:t xml:space="preserve"> je pak </w:t>
      </w:r>
      <w:r w:rsidR="006F715C" w:rsidRPr="006F715C">
        <w:rPr>
          <w:rFonts w:ascii="Times New Roman" w:hAnsi="Times New Roman"/>
          <w:sz w:val="24"/>
          <w:szCs w:val="24"/>
        </w:rPr>
        <w:t>vlastnost</w:t>
      </w:r>
      <w:r>
        <w:rPr>
          <w:rFonts w:ascii="Times New Roman" w:hAnsi="Times New Roman"/>
          <w:sz w:val="24"/>
          <w:szCs w:val="24"/>
        </w:rPr>
        <w:t>í</w:t>
      </w:r>
      <w:r w:rsidR="006F715C" w:rsidRPr="006F715C">
        <w:rPr>
          <w:rFonts w:ascii="Times New Roman" w:hAnsi="Times New Roman"/>
          <w:sz w:val="24"/>
          <w:szCs w:val="24"/>
        </w:rPr>
        <w:t xml:space="preserve"> rozhodnutí spočívající v jeho vynutitelnosti, pokud nebude splněno dobrovolně.</w:t>
      </w:r>
    </w:p>
    <w:p w:rsidR="006F715C" w:rsidRPr="002E1F88" w:rsidRDefault="006F715C" w:rsidP="006F71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 </w:t>
      </w:r>
      <w:r w:rsidR="0053334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vlastnost</w:t>
      </w:r>
      <w:r w:rsidRPr="006F715C">
        <w:rPr>
          <w:rFonts w:ascii="Times New Roman" w:hAnsi="Times New Roman"/>
          <w:sz w:val="24"/>
          <w:szCs w:val="24"/>
        </w:rPr>
        <w:t xml:space="preserve"> zejména u právních předpisů spočívající v jejich normativní existenci (náležitá publikace), v případě rozhod</w:t>
      </w:r>
      <w:r w:rsidR="0053334E">
        <w:rPr>
          <w:rFonts w:ascii="Times New Roman" w:hAnsi="Times New Roman"/>
          <w:sz w:val="24"/>
          <w:szCs w:val="24"/>
        </w:rPr>
        <w:t xml:space="preserve">nutí takové, které bylo vydáno. Účinnost je pak vlastnost </w:t>
      </w:r>
      <w:r w:rsidRPr="006F715C">
        <w:rPr>
          <w:rFonts w:ascii="Times New Roman" w:hAnsi="Times New Roman"/>
          <w:sz w:val="24"/>
          <w:szCs w:val="24"/>
        </w:rPr>
        <w:t>právních předpisů spočívající v povinnosti adresáta řídit se právním předpisem.</w:t>
      </w:r>
    </w:p>
    <w:p w:rsidR="006F715C" w:rsidRDefault="006F715C" w:rsidP="002E1F88">
      <w:pPr>
        <w:jc w:val="both"/>
        <w:rPr>
          <w:rFonts w:ascii="Times New Roman" w:hAnsi="Times New Roman"/>
          <w:sz w:val="24"/>
          <w:szCs w:val="24"/>
        </w:rPr>
      </w:pPr>
    </w:p>
    <w:p w:rsidR="00DE174A" w:rsidRDefault="002E1F88" w:rsidP="002E1F88">
      <w:pPr>
        <w:jc w:val="both"/>
        <w:rPr>
          <w:rFonts w:ascii="Times New Roman" w:hAnsi="Times New Roman"/>
          <w:sz w:val="24"/>
          <w:szCs w:val="24"/>
        </w:rPr>
      </w:pPr>
      <w:r w:rsidRPr="002E1F88">
        <w:rPr>
          <w:rFonts w:ascii="Times New Roman" w:hAnsi="Times New Roman"/>
          <w:sz w:val="24"/>
          <w:szCs w:val="24"/>
        </w:rPr>
        <w:t>Závěr</w:t>
      </w:r>
    </w:p>
    <w:p w:rsidR="006F715C" w:rsidRPr="006F715C" w:rsidRDefault="006F715C" w:rsidP="0053334E">
      <w:pPr>
        <w:jc w:val="both"/>
        <w:rPr>
          <w:rFonts w:ascii="Times New Roman" w:hAnsi="Times New Roman"/>
          <w:sz w:val="24"/>
          <w:szCs w:val="24"/>
        </w:rPr>
      </w:pPr>
      <w:r w:rsidRPr="006F715C">
        <w:rPr>
          <w:rFonts w:ascii="Times New Roman" w:hAnsi="Times New Roman"/>
          <w:sz w:val="24"/>
          <w:szCs w:val="24"/>
        </w:rPr>
        <w:t>Každé rozhodnutí musí obsahovat základní náležitosti, jak formální, tak obsahové, jinak se stává nepřezkoumatelným a musí být zrušeno. Základními náležitostmi správního rozhodnutí jsou zpravidla písemná podoba rozhodnutí a další náležitosti předvídané správním řádem. Mezi základní vlastnosti správního</w:t>
      </w:r>
      <w:r w:rsidR="0053334E">
        <w:rPr>
          <w:rFonts w:ascii="Times New Roman" w:hAnsi="Times New Roman"/>
          <w:sz w:val="24"/>
          <w:szCs w:val="24"/>
        </w:rPr>
        <w:t xml:space="preserve"> rozhodnutí patří zejména jeho </w:t>
      </w:r>
      <w:r w:rsidRPr="006F715C">
        <w:rPr>
          <w:rFonts w:ascii="Times New Roman" w:hAnsi="Times New Roman"/>
          <w:sz w:val="24"/>
          <w:szCs w:val="24"/>
        </w:rPr>
        <w:t>právní moc a vykonatelnost.</w:t>
      </w:r>
    </w:p>
    <w:p w:rsidR="006F715C" w:rsidRPr="009F0088" w:rsidRDefault="006F715C" w:rsidP="002E1F88">
      <w:pPr>
        <w:jc w:val="both"/>
        <w:rPr>
          <w:rFonts w:ascii="Times New Roman" w:hAnsi="Times New Roman"/>
          <w:sz w:val="24"/>
          <w:szCs w:val="24"/>
        </w:rPr>
      </w:pPr>
    </w:p>
    <w:sectPr w:rsidR="006F715C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F8" w:rsidRDefault="00FA69F8" w:rsidP="00AD5A85">
      <w:pPr>
        <w:spacing w:after="0" w:line="240" w:lineRule="auto"/>
      </w:pPr>
      <w:r>
        <w:separator/>
      </w:r>
    </w:p>
  </w:endnote>
  <w:endnote w:type="continuationSeparator" w:id="0">
    <w:p w:rsidR="00FA69F8" w:rsidRDefault="00FA69F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A69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FA6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F8" w:rsidRDefault="00FA69F8" w:rsidP="00AD5A85">
      <w:pPr>
        <w:spacing w:after="0" w:line="240" w:lineRule="auto"/>
      </w:pPr>
      <w:r>
        <w:separator/>
      </w:r>
    </w:p>
  </w:footnote>
  <w:footnote w:type="continuationSeparator" w:id="0">
    <w:p w:rsidR="00FA69F8" w:rsidRDefault="00FA69F8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725E"/>
    <w:rsid w:val="00093133"/>
    <w:rsid w:val="000A76D4"/>
    <w:rsid w:val="000B055C"/>
    <w:rsid w:val="000E2137"/>
    <w:rsid w:val="000E382D"/>
    <w:rsid w:val="0013130E"/>
    <w:rsid w:val="001414A4"/>
    <w:rsid w:val="001535B9"/>
    <w:rsid w:val="00171349"/>
    <w:rsid w:val="001B7694"/>
    <w:rsid w:val="001C3FBD"/>
    <w:rsid w:val="001D56C7"/>
    <w:rsid w:val="001E68DB"/>
    <w:rsid w:val="00204A45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2E1F88"/>
    <w:rsid w:val="00396497"/>
    <w:rsid w:val="003A0D5A"/>
    <w:rsid w:val="003A1A04"/>
    <w:rsid w:val="003F22EB"/>
    <w:rsid w:val="0040331C"/>
    <w:rsid w:val="00424E37"/>
    <w:rsid w:val="004272C7"/>
    <w:rsid w:val="004733EC"/>
    <w:rsid w:val="00483D68"/>
    <w:rsid w:val="004E5366"/>
    <w:rsid w:val="00511C20"/>
    <w:rsid w:val="0053334E"/>
    <w:rsid w:val="0059235B"/>
    <w:rsid w:val="005B263D"/>
    <w:rsid w:val="005D5AAD"/>
    <w:rsid w:val="005D6E7F"/>
    <w:rsid w:val="005F77ED"/>
    <w:rsid w:val="0060135D"/>
    <w:rsid w:val="006054B5"/>
    <w:rsid w:val="00637BA0"/>
    <w:rsid w:val="006430D2"/>
    <w:rsid w:val="00653A3B"/>
    <w:rsid w:val="0068197B"/>
    <w:rsid w:val="00686374"/>
    <w:rsid w:val="00686F19"/>
    <w:rsid w:val="006C1561"/>
    <w:rsid w:val="006F715C"/>
    <w:rsid w:val="00735B1D"/>
    <w:rsid w:val="007561D4"/>
    <w:rsid w:val="007D7EA6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902216"/>
    <w:rsid w:val="0091449A"/>
    <w:rsid w:val="00940D9C"/>
    <w:rsid w:val="00952137"/>
    <w:rsid w:val="00955FDF"/>
    <w:rsid w:val="00961D1B"/>
    <w:rsid w:val="00994AD5"/>
    <w:rsid w:val="009C39A2"/>
    <w:rsid w:val="009E162B"/>
    <w:rsid w:val="009F0088"/>
    <w:rsid w:val="009F5A04"/>
    <w:rsid w:val="00A01A5E"/>
    <w:rsid w:val="00A90521"/>
    <w:rsid w:val="00A93FE2"/>
    <w:rsid w:val="00A97309"/>
    <w:rsid w:val="00AD5A85"/>
    <w:rsid w:val="00B26968"/>
    <w:rsid w:val="00B5019E"/>
    <w:rsid w:val="00B63E16"/>
    <w:rsid w:val="00B76382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73084"/>
    <w:rsid w:val="00E8263B"/>
    <w:rsid w:val="00EB1FFB"/>
    <w:rsid w:val="00EB7AA0"/>
    <w:rsid w:val="00EF3115"/>
    <w:rsid w:val="00F86EA6"/>
    <w:rsid w:val="00F943BB"/>
    <w:rsid w:val="00FA5003"/>
    <w:rsid w:val="00FA69F8"/>
    <w:rsid w:val="00FB7D21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4</cp:revision>
  <dcterms:created xsi:type="dcterms:W3CDTF">2018-07-18T11:22:00Z</dcterms:created>
  <dcterms:modified xsi:type="dcterms:W3CDTF">2018-07-18T13:03:00Z</dcterms:modified>
</cp:coreProperties>
</file>