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bookmarkStart w:id="0" w:name="_Hlk503112996"/>
      <w:r w:rsidR="005563D4" w:rsidRPr="005563D4">
        <w:rPr>
          <w:rFonts w:ascii="Times New Roman" w:hAnsi="Times New Roman"/>
          <w:b/>
          <w:sz w:val="24"/>
          <w:szCs w:val="24"/>
        </w:rPr>
        <w:t>Právo bezpečnosti a obrany</w:t>
      </w:r>
      <w:bookmarkEnd w:id="0"/>
    </w:p>
    <w:p w:rsidR="009F0088" w:rsidRDefault="001414A4" w:rsidP="009F0088">
      <w:pPr>
        <w:jc w:val="both"/>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585845" w:rsidRPr="00585845">
        <w:rPr>
          <w:rFonts w:ascii="Times New Roman" w:hAnsi="Times New Roman"/>
          <w:b/>
          <w:sz w:val="24"/>
          <w:szCs w:val="24"/>
        </w:rPr>
        <w:t>Právo na úseku bezpečnosti státu. Povinnosti FO a PO při zajišťování obrany státu.</w:t>
      </w:r>
      <w:r w:rsidR="00101FEB" w:rsidRPr="00101FEB">
        <w:rPr>
          <w:rFonts w:ascii="Times New Roman" w:hAnsi="Times New Roman"/>
          <w:b/>
          <w:sz w:val="24"/>
          <w:szCs w:val="24"/>
        </w:rPr>
        <w:t xml:space="preserve"> (2p + 2c)</w:t>
      </w:r>
      <w:r w:rsidR="008A434F" w:rsidRPr="0059235B">
        <w:rPr>
          <w:rFonts w:ascii="Times New Roman" w:hAnsi="Times New Roman"/>
          <w:b/>
          <w:sz w:val="24"/>
          <w:szCs w:val="24"/>
        </w:rPr>
        <w:t>.</w:t>
      </w:r>
    </w:p>
    <w:p w:rsidR="001414A4" w:rsidRPr="009F0088" w:rsidRDefault="001414A4" w:rsidP="009F0088">
      <w:pPr>
        <w:jc w:val="both"/>
        <w:rPr>
          <w:rFonts w:ascii="Times New Roman" w:hAnsi="Times New Roman"/>
          <w:b/>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2D2E62" w:rsidRPr="00236B33">
        <w:rPr>
          <w:rFonts w:ascii="Times New Roman" w:hAnsi="Times New Roman"/>
          <w:sz w:val="24"/>
          <w:szCs w:val="24"/>
        </w:rPr>
        <w:t xml:space="preserve"> </w:t>
      </w:r>
      <w:r w:rsidR="00101FEB">
        <w:rPr>
          <w:rFonts w:ascii="Times New Roman" w:hAnsi="Times New Roman"/>
          <w:sz w:val="24"/>
          <w:szCs w:val="24"/>
        </w:rPr>
        <w:t>bezpečností</w:t>
      </w:r>
      <w:r w:rsidR="002D2E62" w:rsidRPr="00236B33">
        <w:rPr>
          <w:rFonts w:ascii="Times New Roman" w:hAnsi="Times New Roman"/>
          <w:sz w:val="24"/>
          <w:szCs w:val="24"/>
        </w:rPr>
        <w:t xml:space="preserve"> jako </w:t>
      </w:r>
      <w:r w:rsidR="00101FEB">
        <w:rPr>
          <w:rFonts w:ascii="Times New Roman" w:hAnsi="Times New Roman"/>
          <w:sz w:val="24"/>
          <w:szCs w:val="24"/>
        </w:rPr>
        <w:t xml:space="preserve">kategorii </w:t>
      </w:r>
      <w:r w:rsidR="002D2E62" w:rsidRPr="00236B33">
        <w:rPr>
          <w:rFonts w:ascii="Times New Roman" w:hAnsi="Times New Roman"/>
          <w:sz w:val="24"/>
          <w:szCs w:val="24"/>
        </w:rPr>
        <w:t xml:space="preserve">českého </w:t>
      </w:r>
      <w:r w:rsidR="000E1010">
        <w:rPr>
          <w:rFonts w:ascii="Times New Roman" w:hAnsi="Times New Roman"/>
          <w:sz w:val="24"/>
          <w:szCs w:val="24"/>
        </w:rPr>
        <w:t>veřejné</w:t>
      </w:r>
      <w:r w:rsidR="00101FEB">
        <w:rPr>
          <w:rFonts w:ascii="Times New Roman" w:hAnsi="Times New Roman"/>
          <w:sz w:val="24"/>
          <w:szCs w:val="24"/>
        </w:rPr>
        <w:t xml:space="preserve">ho </w:t>
      </w:r>
      <w:r w:rsidR="002D2E62" w:rsidRPr="00236B33">
        <w:rPr>
          <w:rFonts w:ascii="Times New Roman" w:hAnsi="Times New Roman"/>
          <w:sz w:val="24"/>
          <w:szCs w:val="24"/>
        </w:rPr>
        <w:t>práva</w:t>
      </w:r>
      <w:r w:rsidR="00101FEB">
        <w:rPr>
          <w:rFonts w:ascii="Times New Roman" w:hAnsi="Times New Roman"/>
          <w:sz w:val="24"/>
          <w:szCs w:val="24"/>
        </w:rPr>
        <w:t>.</w:t>
      </w:r>
      <w:r w:rsidR="002D2E62" w:rsidRPr="00236B33">
        <w:rPr>
          <w:rFonts w:ascii="Times New Roman" w:hAnsi="Times New Roman"/>
          <w:sz w:val="24"/>
          <w:szCs w:val="24"/>
        </w:rPr>
        <w:t xml:space="preserve"> </w:t>
      </w:r>
      <w:r w:rsidR="000E1010">
        <w:rPr>
          <w:rFonts w:ascii="Times New Roman" w:hAnsi="Times New Roman"/>
          <w:sz w:val="24"/>
          <w:szCs w:val="24"/>
        </w:rPr>
        <w:t xml:space="preserve">Poté objasnit postavení a povinnosti subjektů, které zajišťuji bezpečnost České republiky. </w:t>
      </w:r>
      <w:r w:rsidR="002D2E62" w:rsidRPr="00236B33">
        <w:rPr>
          <w:rFonts w:ascii="Times New Roman" w:hAnsi="Times New Roman"/>
          <w:sz w:val="24"/>
          <w:szCs w:val="24"/>
        </w:rPr>
        <w:t xml:space="preserve">Studenti si prohloubí znalosti o </w:t>
      </w:r>
      <w:r w:rsidR="00101FEB">
        <w:rPr>
          <w:rFonts w:ascii="Times New Roman" w:hAnsi="Times New Roman"/>
          <w:sz w:val="24"/>
          <w:szCs w:val="24"/>
        </w:rPr>
        <w:t>právní regulaci bezpečnosti a obran</w:t>
      </w:r>
      <w:r w:rsidR="00363E3B">
        <w:rPr>
          <w:rFonts w:ascii="Times New Roman" w:hAnsi="Times New Roman"/>
          <w:sz w:val="24"/>
          <w:szCs w:val="24"/>
        </w:rPr>
        <w:t>y</w:t>
      </w:r>
      <w:r w:rsidR="00101FEB">
        <w:rPr>
          <w:rFonts w:ascii="Times New Roman" w:hAnsi="Times New Roman"/>
          <w:sz w:val="24"/>
          <w:szCs w:val="24"/>
        </w:rPr>
        <w:t xml:space="preserve"> státu </w:t>
      </w:r>
      <w:r w:rsidR="000E1010">
        <w:rPr>
          <w:rFonts w:ascii="Times New Roman" w:hAnsi="Times New Roman"/>
          <w:sz w:val="24"/>
          <w:szCs w:val="24"/>
        </w:rPr>
        <w:t>a o povinnostech odpovědných subjektů</w:t>
      </w:r>
      <w:r w:rsidR="00363E3B">
        <w:rPr>
          <w:rFonts w:ascii="Times New Roman" w:hAnsi="Times New Roman"/>
          <w:sz w:val="24"/>
          <w:szCs w:val="24"/>
        </w:rPr>
        <w:t>.</w:t>
      </w:r>
      <w:r w:rsidR="00101FEB">
        <w:rPr>
          <w:rFonts w:ascii="Times New Roman" w:hAnsi="Times New Roman"/>
          <w:sz w:val="24"/>
          <w:szCs w:val="24"/>
        </w:rPr>
        <w:t xml:space="preserve"> </w:t>
      </w:r>
      <w:r w:rsidR="002D2E62" w:rsidRPr="002C2BBC">
        <w:rPr>
          <w:rFonts w:ascii="Times New Roman" w:hAnsi="Times New Roman"/>
          <w:sz w:val="24"/>
          <w:szCs w:val="24"/>
        </w:rPr>
        <w:t xml:space="preserve">  </w:t>
      </w:r>
      <w:r w:rsidR="002B0E2D" w:rsidRPr="002C2BBC">
        <w:rPr>
          <w:rFonts w:ascii="Times New Roman" w:hAnsi="Times New Roman"/>
          <w:sz w:val="24"/>
          <w:szCs w:val="24"/>
        </w:rPr>
        <w:t xml:space="preserve"> </w:t>
      </w:r>
      <w:r w:rsidR="002D2E62" w:rsidRPr="002C2BBC">
        <w:rPr>
          <w:rFonts w:ascii="Times New Roman" w:hAnsi="Times New Roman"/>
          <w:sz w:val="24"/>
          <w:szCs w:val="24"/>
        </w:rPr>
        <w:t xml:space="preserve"> </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CC5479" w:rsidRPr="00B64950" w:rsidRDefault="00F65519" w:rsidP="00CC5479">
      <w:pPr>
        <w:jc w:val="both"/>
        <w:rPr>
          <w:rFonts w:ascii="Times New Roman" w:eastAsia="Times New Roman" w:hAnsi="Times New Roman"/>
          <w:iCs/>
          <w:sz w:val="24"/>
          <w:lang w:eastAsia="cs-CZ"/>
        </w:rPr>
      </w:pPr>
      <w:r>
        <w:rPr>
          <w:rFonts w:ascii="Times New Roman" w:eastAsia="Times New Roman" w:hAnsi="Times New Roman"/>
          <w:iCs/>
          <w:sz w:val="24"/>
          <w:lang w:eastAsia="cs-CZ"/>
        </w:rPr>
        <w:t xml:space="preserve">Detailně vysvětlete </w:t>
      </w:r>
      <w:r w:rsidR="002429D9">
        <w:rPr>
          <w:rFonts w:ascii="Times New Roman" w:eastAsia="Times New Roman" w:hAnsi="Times New Roman"/>
          <w:iCs/>
          <w:sz w:val="24"/>
          <w:lang w:eastAsia="cs-CZ"/>
        </w:rPr>
        <w:t>rozdíly mezi krizovým stavem a krizovou situací.</w:t>
      </w:r>
    </w:p>
    <w:p w:rsidR="00CE3CEA" w:rsidRDefault="002429D9" w:rsidP="00CE3CEA">
      <w:pPr>
        <w:jc w:val="both"/>
        <w:rPr>
          <w:rFonts w:ascii="Times New Roman" w:eastAsia="Times New Roman" w:hAnsi="Times New Roman"/>
          <w:iCs/>
          <w:sz w:val="24"/>
          <w:lang w:eastAsia="cs-CZ"/>
        </w:rPr>
      </w:pPr>
      <w:r>
        <w:rPr>
          <w:rFonts w:ascii="Times New Roman" w:eastAsia="Times New Roman" w:hAnsi="Times New Roman"/>
          <w:iCs/>
          <w:sz w:val="24"/>
          <w:lang w:eastAsia="cs-CZ"/>
        </w:rPr>
        <w:t>Pojednejte o roli jednotlivých subjektů, které jsou na základě platné právní úpravy zavázány k řešení krizových situaci.</w:t>
      </w:r>
      <w:r w:rsidR="00CE3CEA" w:rsidRPr="00CE3CEA">
        <w:rPr>
          <w:rFonts w:ascii="Times New Roman" w:eastAsia="Times New Roman" w:hAnsi="Times New Roman"/>
          <w:iCs/>
          <w:sz w:val="24"/>
          <w:lang w:eastAsia="cs-CZ"/>
        </w:rPr>
        <w:t xml:space="preserve"> </w:t>
      </w:r>
    </w:p>
    <w:p w:rsidR="00CE3CEA" w:rsidRPr="00B64950" w:rsidRDefault="00CE3CEA" w:rsidP="00CE3CEA">
      <w:pPr>
        <w:jc w:val="both"/>
        <w:rPr>
          <w:rFonts w:ascii="Times New Roman" w:eastAsia="Times New Roman" w:hAnsi="Times New Roman"/>
          <w:iCs/>
          <w:sz w:val="24"/>
          <w:lang w:eastAsia="cs-CZ"/>
        </w:rPr>
      </w:pPr>
      <w:r w:rsidRPr="00B64950">
        <w:rPr>
          <w:rFonts w:ascii="Times New Roman" w:eastAsia="Times New Roman" w:hAnsi="Times New Roman"/>
          <w:iCs/>
          <w:sz w:val="24"/>
          <w:lang w:eastAsia="cs-CZ"/>
        </w:rPr>
        <w:t xml:space="preserve">Popište a charakterizujte </w:t>
      </w:r>
      <w:r w:rsidR="002429D9">
        <w:rPr>
          <w:rFonts w:ascii="Times New Roman" w:eastAsia="Times New Roman" w:hAnsi="Times New Roman"/>
          <w:iCs/>
          <w:sz w:val="24"/>
          <w:lang w:eastAsia="cs-CZ"/>
        </w:rPr>
        <w:t xml:space="preserve">roli </w:t>
      </w:r>
      <w:r w:rsidRPr="00B64950">
        <w:rPr>
          <w:rFonts w:ascii="Times New Roman" w:eastAsia="Times New Roman" w:hAnsi="Times New Roman"/>
          <w:iCs/>
          <w:sz w:val="24"/>
          <w:lang w:eastAsia="cs-CZ"/>
        </w:rPr>
        <w:t>ozbrojen</w:t>
      </w:r>
      <w:r w:rsidR="002429D9">
        <w:rPr>
          <w:rFonts w:ascii="Times New Roman" w:eastAsia="Times New Roman" w:hAnsi="Times New Roman"/>
          <w:iCs/>
          <w:sz w:val="24"/>
          <w:lang w:eastAsia="cs-CZ"/>
        </w:rPr>
        <w:t>ých</w:t>
      </w:r>
      <w:r w:rsidRPr="00B64950">
        <w:rPr>
          <w:rFonts w:ascii="Times New Roman" w:eastAsia="Times New Roman" w:hAnsi="Times New Roman"/>
          <w:iCs/>
          <w:sz w:val="24"/>
          <w:lang w:eastAsia="cs-CZ"/>
        </w:rPr>
        <w:t xml:space="preserve"> </w:t>
      </w:r>
      <w:r w:rsidR="002429D9" w:rsidRPr="00B64950">
        <w:rPr>
          <w:rFonts w:ascii="Times New Roman" w:eastAsia="Times New Roman" w:hAnsi="Times New Roman"/>
          <w:iCs/>
          <w:sz w:val="24"/>
          <w:lang w:eastAsia="cs-CZ"/>
        </w:rPr>
        <w:t>sil</w:t>
      </w:r>
      <w:r w:rsidR="002429D9">
        <w:rPr>
          <w:rFonts w:ascii="Times New Roman" w:eastAsia="Times New Roman" w:hAnsi="Times New Roman"/>
          <w:iCs/>
          <w:sz w:val="24"/>
          <w:lang w:eastAsia="cs-CZ"/>
        </w:rPr>
        <w:t xml:space="preserve"> a jejich součástí</w:t>
      </w:r>
      <w:r w:rsidRPr="00B64950">
        <w:rPr>
          <w:rFonts w:ascii="Times New Roman" w:eastAsia="Times New Roman" w:hAnsi="Times New Roman"/>
          <w:iCs/>
          <w:sz w:val="24"/>
          <w:lang w:eastAsia="cs-CZ"/>
        </w:rPr>
        <w:t>.</w:t>
      </w:r>
    </w:p>
    <w:p w:rsidR="00F943BB" w:rsidRPr="00B64950" w:rsidRDefault="00F943BB" w:rsidP="00CC5479">
      <w:pPr>
        <w:jc w:val="both"/>
        <w:rPr>
          <w:rFonts w:ascii="Times New Roman" w:eastAsia="Times New Roman" w:hAnsi="Times New Roman"/>
          <w:iCs/>
          <w:sz w:val="24"/>
          <w:lang w:eastAsia="cs-CZ"/>
        </w:rPr>
      </w:pPr>
    </w:p>
    <w:p w:rsidR="005F77ED" w:rsidRPr="00A75C5A" w:rsidRDefault="00FB7D21" w:rsidP="00CC5479">
      <w:pPr>
        <w:jc w:val="both"/>
        <w:rPr>
          <w:b/>
        </w:rPr>
      </w:pPr>
      <w:r w:rsidRPr="00A75C5A">
        <w:rPr>
          <w:rFonts w:ascii="Times New Roman" w:hAnsi="Times New Roman"/>
          <w:b/>
          <w:sz w:val="24"/>
          <w:szCs w:val="24"/>
        </w:rPr>
        <w:t>Studijní</w:t>
      </w:r>
      <w:r w:rsidR="00955FDF" w:rsidRPr="00A75C5A">
        <w:rPr>
          <w:rFonts w:ascii="Times New Roman" w:hAnsi="Times New Roman"/>
          <w:b/>
          <w:sz w:val="24"/>
          <w:szCs w:val="24"/>
        </w:rPr>
        <w:t xml:space="preserve"> literatura:</w:t>
      </w:r>
      <w:r w:rsidR="00236B33" w:rsidRPr="00A75C5A">
        <w:rPr>
          <w:rFonts w:ascii="Times New Roman" w:hAnsi="Times New Roman"/>
          <w:b/>
          <w:sz w:val="24"/>
          <w:szCs w:val="24"/>
        </w:rPr>
        <w:t xml:space="preserve"> </w:t>
      </w:r>
    </w:p>
    <w:p w:rsidR="00AA1801" w:rsidRPr="00AA1801" w:rsidRDefault="00AA1801" w:rsidP="00AA1801">
      <w:pPr>
        <w:pStyle w:val="Normlnweb"/>
        <w:shd w:val="clear" w:color="auto" w:fill="FFFFFF"/>
        <w:spacing w:before="0" w:beforeAutospacing="0" w:after="0" w:afterAutospacing="0"/>
        <w:jc w:val="both"/>
      </w:pPr>
      <w:r w:rsidRPr="00AA1801">
        <w:t>ČESKÁ REPUBLIKA Usnesení předsednictva ČNR č. 2/1993 Sb., o vyhlášení LISTINY ZÁKLADNÍCH PRÁV A SVOBOD jako součásti ústavního pořádku České republiky, ve znění Ústavního zákona č. 162/1998 Sb.</w:t>
      </w:r>
    </w:p>
    <w:p w:rsidR="00AA1801" w:rsidRPr="00AA1801" w:rsidRDefault="00AA1801" w:rsidP="00AA1801">
      <w:pPr>
        <w:pStyle w:val="Normlnweb"/>
        <w:shd w:val="clear" w:color="auto" w:fill="FFFFFF"/>
        <w:spacing w:before="0" w:beforeAutospacing="0" w:after="0" w:afterAutospacing="0"/>
        <w:jc w:val="both"/>
      </w:pPr>
      <w:r w:rsidRPr="00AA1801">
        <w:t>ČESKÁ REPUBLIKA Ústavní zákon č. 110/1998 Sb., o bezpečnosti České republiky, ve znění Ústavního zákona č. 300/2000 Sb.</w:t>
      </w:r>
    </w:p>
    <w:p w:rsidR="00AA1801" w:rsidRDefault="00AA1801" w:rsidP="00AA1801">
      <w:pPr>
        <w:pStyle w:val="Normlnweb"/>
        <w:shd w:val="clear" w:color="auto" w:fill="FFFFFF"/>
        <w:spacing w:before="0" w:beforeAutospacing="0" w:after="0" w:afterAutospacing="0"/>
        <w:jc w:val="both"/>
      </w:pPr>
      <w:r w:rsidRPr="00AA1801">
        <w:t>ČESKÁ REPUBLIKA Zákon č. 219/1999 Sb., o ozbrojených silách České republiky, ve znění pozdějších předpisů</w:t>
      </w:r>
    </w:p>
    <w:p w:rsidR="00AA1801" w:rsidRDefault="00AA1801" w:rsidP="00AA1801">
      <w:pPr>
        <w:pStyle w:val="Normlnweb"/>
        <w:shd w:val="clear" w:color="auto" w:fill="FFFFFF"/>
        <w:spacing w:before="0" w:beforeAutospacing="0" w:after="0" w:afterAutospacing="0"/>
        <w:jc w:val="both"/>
      </w:pPr>
      <w:r w:rsidRPr="00AA1801">
        <w:t>ČESKÁ REPUBLIKA. Ústavní zákon o bezpečnosti České republiky. In: Sbírka zákonů. 1998, číslo 110.</w:t>
      </w:r>
    </w:p>
    <w:p w:rsidR="00E57CF1" w:rsidRDefault="00E57CF1" w:rsidP="00AA1801">
      <w:pPr>
        <w:pStyle w:val="Normlnweb"/>
        <w:shd w:val="clear" w:color="auto" w:fill="FFFFFF"/>
        <w:spacing w:before="0" w:beforeAutospacing="0" w:after="0" w:afterAutospacing="0"/>
        <w:jc w:val="both"/>
      </w:pPr>
      <w:r w:rsidRPr="00AA1801">
        <w:t>ČESKÁ REPUBLIKA.</w:t>
      </w:r>
      <w:r>
        <w:t xml:space="preserve"> </w:t>
      </w:r>
      <w:r w:rsidRPr="00E57CF1">
        <w:t>Zákon č. 240/2000 Sb., o krizovém řízení a o změně některých zákonů (krizový zákon), ve znění pozdějších předpisů</w:t>
      </w:r>
    </w:p>
    <w:p w:rsidR="00AA1801" w:rsidRDefault="00AA1801" w:rsidP="00AA1801">
      <w:pPr>
        <w:pStyle w:val="Normlnweb"/>
        <w:shd w:val="clear" w:color="auto" w:fill="FFFFFF"/>
        <w:spacing w:before="0" w:beforeAutospacing="0" w:after="0" w:afterAutospacing="0"/>
        <w:jc w:val="both"/>
      </w:pPr>
      <w:r w:rsidRPr="00AA1801">
        <w:t>FILIP, Jan. Ústavní právo: učební text pro bakalářské studium. 4., aktualizované a doplněné vydání. Brno: Masarykova univerzita, 2015, 167 s. ISBN 9788021078451.</w:t>
      </w:r>
    </w:p>
    <w:p w:rsidR="00236B33" w:rsidRPr="00A75C5A" w:rsidRDefault="00AA1801" w:rsidP="00AA1801">
      <w:pPr>
        <w:pStyle w:val="Normlnweb"/>
        <w:shd w:val="clear" w:color="auto" w:fill="FFFFFF"/>
        <w:spacing w:before="0" w:beforeAutospacing="0" w:after="0" w:afterAutospacing="0"/>
        <w:jc w:val="both"/>
      </w:pPr>
      <w:r w:rsidRPr="00AA1801">
        <w:t>SKORUŠA, Leopold, Radim VIČAR, Tomáš ZBOŘIL a Ondřej HORÁK. Základy práva a vybrané kapitoly mezinárodního humanitárního práva: studijní text. Brno: Univerzita obrany, 2015, 172 s. ISBN 978-80-7231-447-8.</w:t>
      </w:r>
    </w:p>
    <w:p w:rsidR="000D3D5B" w:rsidRDefault="000D3D5B" w:rsidP="000D3D5B">
      <w:pPr>
        <w:pStyle w:val="Normlnweb"/>
        <w:shd w:val="clear" w:color="auto" w:fill="FFFFFF"/>
        <w:spacing w:before="0" w:beforeAutospacing="0" w:after="0" w:afterAutospacing="0"/>
        <w:jc w:val="both"/>
      </w:pPr>
      <w:r w:rsidRPr="000D3D5B">
        <w:t xml:space="preserve">zákon o zajišťování obrany ČR (č. 222/1999 Sb.), </w:t>
      </w:r>
    </w:p>
    <w:p w:rsidR="00AA1801" w:rsidRPr="000D3D5B" w:rsidRDefault="00AA1801" w:rsidP="000D3D5B">
      <w:pPr>
        <w:pStyle w:val="Normlnweb"/>
        <w:shd w:val="clear" w:color="auto" w:fill="FFFFFF"/>
        <w:spacing w:before="0" w:beforeAutospacing="0" w:after="0" w:afterAutospacing="0"/>
        <w:jc w:val="both"/>
      </w:pPr>
      <w:r w:rsidRPr="000D3D5B">
        <w:br w:type="page"/>
      </w:r>
    </w:p>
    <w:p w:rsidR="005F77ED" w:rsidRPr="00A75C5A" w:rsidRDefault="00637BA0" w:rsidP="005F77ED">
      <w:pPr>
        <w:jc w:val="both"/>
      </w:pPr>
      <w:r w:rsidRPr="00A75C5A">
        <w:rPr>
          <w:rFonts w:ascii="Times New Roman" w:hAnsi="Times New Roman"/>
          <w:b/>
          <w:sz w:val="24"/>
          <w:szCs w:val="24"/>
        </w:rPr>
        <w:lastRenderedPageBreak/>
        <w:t>Obsah:</w:t>
      </w:r>
      <w:r w:rsidR="005F77ED" w:rsidRPr="00A75C5A">
        <w:t xml:space="preserve"> </w:t>
      </w:r>
    </w:p>
    <w:p w:rsidR="005F77ED" w:rsidRPr="00A75C5A" w:rsidRDefault="005F77ED" w:rsidP="005F77ED">
      <w:pPr>
        <w:jc w:val="both"/>
        <w:rPr>
          <w:rFonts w:ascii="Times New Roman" w:hAnsi="Times New Roman"/>
          <w:sz w:val="24"/>
          <w:szCs w:val="24"/>
        </w:rPr>
      </w:pPr>
      <w:r w:rsidRPr="00A75C5A">
        <w:rPr>
          <w:rFonts w:ascii="Times New Roman" w:hAnsi="Times New Roman"/>
          <w:sz w:val="24"/>
          <w:szCs w:val="24"/>
        </w:rPr>
        <w:t>Úvod</w:t>
      </w:r>
    </w:p>
    <w:p w:rsidR="00000000" w:rsidRPr="0040310B" w:rsidRDefault="00DC1FE1" w:rsidP="0040310B">
      <w:pPr>
        <w:pStyle w:val="Odstavecseseznamem"/>
        <w:numPr>
          <w:ilvl w:val="0"/>
          <w:numId w:val="6"/>
        </w:numPr>
        <w:ind w:left="426"/>
        <w:jc w:val="both"/>
        <w:rPr>
          <w:rFonts w:ascii="Times New Roman" w:hAnsi="Times New Roman"/>
          <w:sz w:val="24"/>
          <w:szCs w:val="24"/>
        </w:rPr>
      </w:pPr>
      <w:r w:rsidRPr="0040310B">
        <w:rPr>
          <w:rFonts w:ascii="Times New Roman" w:hAnsi="Times New Roman"/>
          <w:sz w:val="24"/>
          <w:szCs w:val="24"/>
        </w:rPr>
        <w:t>Krizové situace, krizové stavy – rozdělení, význam</w:t>
      </w:r>
    </w:p>
    <w:p w:rsidR="00000000" w:rsidRPr="0040310B" w:rsidRDefault="00DC1FE1" w:rsidP="0040310B">
      <w:pPr>
        <w:pStyle w:val="Odstavecseseznamem"/>
        <w:numPr>
          <w:ilvl w:val="0"/>
          <w:numId w:val="6"/>
        </w:numPr>
        <w:ind w:left="426"/>
        <w:jc w:val="both"/>
        <w:rPr>
          <w:rFonts w:ascii="Times New Roman" w:hAnsi="Times New Roman"/>
          <w:sz w:val="24"/>
          <w:szCs w:val="24"/>
        </w:rPr>
      </w:pPr>
      <w:r w:rsidRPr="0040310B">
        <w:rPr>
          <w:rFonts w:ascii="Times New Roman" w:hAnsi="Times New Roman"/>
          <w:sz w:val="24"/>
          <w:szCs w:val="24"/>
        </w:rPr>
        <w:t>Povinnosti subjektů</w:t>
      </w:r>
      <w:r w:rsidR="0040310B" w:rsidRPr="0040310B">
        <w:rPr>
          <w:rFonts w:ascii="Times New Roman" w:hAnsi="Times New Roman"/>
          <w:sz w:val="24"/>
          <w:szCs w:val="24"/>
        </w:rPr>
        <w:t xml:space="preserve"> p</w:t>
      </w:r>
      <w:r w:rsidRPr="0040310B">
        <w:rPr>
          <w:rFonts w:ascii="Times New Roman" w:hAnsi="Times New Roman"/>
          <w:sz w:val="24"/>
          <w:szCs w:val="24"/>
        </w:rPr>
        <w:t xml:space="preserve">o vyhlášení </w:t>
      </w:r>
      <w:r w:rsidRPr="0040310B">
        <w:rPr>
          <w:rFonts w:ascii="Times New Roman" w:hAnsi="Times New Roman"/>
          <w:sz w:val="24"/>
          <w:szCs w:val="24"/>
        </w:rPr>
        <w:t>krizových stavů</w:t>
      </w:r>
    </w:p>
    <w:p w:rsidR="00000000" w:rsidRPr="0040310B" w:rsidRDefault="00DC1FE1" w:rsidP="0040310B">
      <w:pPr>
        <w:pStyle w:val="Odstavecseseznamem"/>
        <w:numPr>
          <w:ilvl w:val="0"/>
          <w:numId w:val="6"/>
        </w:numPr>
        <w:ind w:left="426"/>
        <w:jc w:val="both"/>
        <w:rPr>
          <w:rFonts w:ascii="Times New Roman" w:hAnsi="Times New Roman"/>
          <w:sz w:val="24"/>
          <w:szCs w:val="24"/>
        </w:rPr>
      </w:pPr>
      <w:r w:rsidRPr="0040310B">
        <w:rPr>
          <w:rFonts w:ascii="Times New Roman" w:hAnsi="Times New Roman"/>
          <w:sz w:val="24"/>
          <w:szCs w:val="24"/>
        </w:rPr>
        <w:t>Ozbrojené sily ČR</w:t>
      </w:r>
    </w:p>
    <w:p w:rsidR="001414A4" w:rsidRPr="00A75C5A" w:rsidRDefault="005F77ED" w:rsidP="005F77ED">
      <w:pPr>
        <w:jc w:val="both"/>
        <w:rPr>
          <w:rFonts w:ascii="Times New Roman" w:hAnsi="Times New Roman"/>
          <w:sz w:val="24"/>
          <w:szCs w:val="24"/>
        </w:rPr>
      </w:pPr>
      <w:r w:rsidRPr="00A75C5A">
        <w:rPr>
          <w:rFonts w:ascii="Times New Roman" w:hAnsi="Times New Roman"/>
          <w:sz w:val="24"/>
          <w:szCs w:val="24"/>
        </w:rPr>
        <w:t>Závěr</w:t>
      </w:r>
    </w:p>
    <w:p w:rsidR="0040310B" w:rsidRPr="0040310B" w:rsidRDefault="0040310B" w:rsidP="0040310B">
      <w:pPr>
        <w:pStyle w:val="Odstavecseseznamem"/>
        <w:numPr>
          <w:ilvl w:val="0"/>
          <w:numId w:val="8"/>
        </w:numPr>
        <w:ind w:left="284" w:hanging="284"/>
        <w:jc w:val="both"/>
        <w:rPr>
          <w:rFonts w:ascii="Times New Roman" w:hAnsi="Times New Roman"/>
          <w:sz w:val="24"/>
          <w:szCs w:val="24"/>
        </w:rPr>
      </w:pPr>
      <w:r w:rsidRPr="0040310B">
        <w:rPr>
          <w:rFonts w:ascii="Times New Roman" w:hAnsi="Times New Roman"/>
          <w:sz w:val="24"/>
          <w:szCs w:val="24"/>
        </w:rPr>
        <w:t>Krizové situace, krizové stavy – rozdělení, význam</w:t>
      </w:r>
    </w:p>
    <w:p w:rsidR="00AA1801" w:rsidRDefault="005F1DD4" w:rsidP="0040310B">
      <w:pPr>
        <w:jc w:val="both"/>
        <w:rPr>
          <w:rFonts w:ascii="Times New Roman" w:hAnsi="Times New Roman"/>
          <w:sz w:val="24"/>
          <w:szCs w:val="24"/>
        </w:rPr>
      </w:pPr>
      <w:r w:rsidRPr="005F1DD4">
        <w:rPr>
          <w:rFonts w:ascii="Times New Roman" w:hAnsi="Times New Roman"/>
          <w:b/>
          <w:sz w:val="24"/>
          <w:szCs w:val="24"/>
        </w:rPr>
        <w:t>Krizová situace</w:t>
      </w:r>
      <w:r w:rsidRPr="005F1DD4">
        <w:rPr>
          <w:rFonts w:ascii="Times New Roman" w:hAnsi="Times New Roman"/>
          <w:sz w:val="24"/>
          <w:szCs w:val="24"/>
        </w:rPr>
        <w:t xml:space="preserve"> je nepředvídatelný nebo obtížně předvídatelný průběh skutečností po narušení rovnovážných stavů přírodních, technologických, ekologických, ekonomických, sociálních a společenských systémů v důsledku, kterého dochází k ohrožení životů, zdraví nebo majetku občanů, životního prostředí, veřejného pořádku, vnitřní nebo vnější bezpečnosti státu a na řešení těchto problémů nestačí běžné kompetence a běžné disponibilní zdroje.</w:t>
      </w:r>
    </w:p>
    <w:p w:rsidR="005F1DD4" w:rsidRDefault="005F1DD4" w:rsidP="0040310B">
      <w:pPr>
        <w:jc w:val="both"/>
        <w:rPr>
          <w:rFonts w:ascii="Times New Roman" w:hAnsi="Times New Roman"/>
          <w:sz w:val="24"/>
          <w:szCs w:val="24"/>
        </w:rPr>
      </w:pPr>
      <w:r>
        <w:rPr>
          <w:rFonts w:ascii="Times New Roman" w:hAnsi="Times New Roman"/>
          <w:sz w:val="24"/>
          <w:szCs w:val="24"/>
        </w:rPr>
        <w:t>Dle z</w:t>
      </w:r>
      <w:r w:rsidRPr="005F1DD4">
        <w:rPr>
          <w:rFonts w:ascii="Times New Roman" w:hAnsi="Times New Roman"/>
          <w:sz w:val="24"/>
          <w:szCs w:val="24"/>
        </w:rPr>
        <w:t>ákon</w:t>
      </w:r>
      <w:r>
        <w:rPr>
          <w:rFonts w:ascii="Times New Roman" w:hAnsi="Times New Roman"/>
          <w:sz w:val="24"/>
          <w:szCs w:val="24"/>
        </w:rPr>
        <w:t>a</w:t>
      </w:r>
      <w:r w:rsidRPr="005F1DD4">
        <w:rPr>
          <w:rFonts w:ascii="Times New Roman" w:hAnsi="Times New Roman"/>
          <w:sz w:val="24"/>
          <w:szCs w:val="24"/>
        </w:rPr>
        <w:t xml:space="preserve"> č. 240/2000 Sb., o krizovém řízení: </w:t>
      </w:r>
    </w:p>
    <w:p w:rsidR="005F1DD4" w:rsidRDefault="005F1DD4" w:rsidP="0040310B">
      <w:pPr>
        <w:jc w:val="both"/>
        <w:rPr>
          <w:rFonts w:ascii="Times New Roman" w:hAnsi="Times New Roman"/>
          <w:sz w:val="24"/>
          <w:szCs w:val="24"/>
        </w:rPr>
      </w:pPr>
      <w:r w:rsidRPr="005F1DD4">
        <w:rPr>
          <w:rFonts w:ascii="Times New Roman" w:hAnsi="Times New Roman"/>
          <w:b/>
          <w:sz w:val="24"/>
          <w:szCs w:val="24"/>
        </w:rPr>
        <w:t>Krizová situace</w:t>
      </w:r>
      <w:r w:rsidRPr="005F1DD4">
        <w:rPr>
          <w:rFonts w:ascii="Times New Roman" w:hAnsi="Times New Roman"/>
          <w:sz w:val="24"/>
          <w:szCs w:val="24"/>
        </w:rPr>
        <w:t xml:space="preserve"> je mimořádná událost, v jejímž důsledku se vyhlašuje stav nebezpečí, nouzový stav, stav ohrožení státu nebo válečný stav. Jsou při ní ohroženy důležité hodnoty, zájmy či statky státu a jeho občanů a hrozící nebezpečí nelze odvrátit a způsobené škody odstranit běžnou činností orgánů veřejné moci, ozbrojených sil a ozbrojených bezpečnostních sborů, záchranných sborů, havarijních a jiných služeb a právnických a fyzických osob</w:t>
      </w:r>
      <w:r>
        <w:rPr>
          <w:rFonts w:ascii="Times New Roman" w:hAnsi="Times New Roman"/>
          <w:sz w:val="24"/>
          <w:szCs w:val="24"/>
        </w:rPr>
        <w:t>.</w:t>
      </w:r>
    </w:p>
    <w:p w:rsidR="005F1DD4" w:rsidRDefault="005F1DD4" w:rsidP="0040310B">
      <w:pPr>
        <w:jc w:val="both"/>
        <w:rPr>
          <w:rFonts w:ascii="Times New Roman" w:hAnsi="Times New Roman"/>
          <w:sz w:val="24"/>
          <w:szCs w:val="24"/>
        </w:rPr>
      </w:pPr>
      <w:r w:rsidRPr="005F1DD4">
        <w:rPr>
          <w:rFonts w:ascii="Times New Roman" w:hAnsi="Times New Roman"/>
          <w:sz w:val="24"/>
          <w:szCs w:val="24"/>
        </w:rPr>
        <w:t xml:space="preserve">Důvody vzniku krizové situace: </w:t>
      </w:r>
    </w:p>
    <w:p w:rsidR="005F1DD4" w:rsidRDefault="005F1DD4" w:rsidP="0040310B">
      <w:pPr>
        <w:jc w:val="both"/>
        <w:rPr>
          <w:rFonts w:ascii="Times New Roman" w:hAnsi="Times New Roman"/>
          <w:sz w:val="24"/>
          <w:szCs w:val="24"/>
        </w:rPr>
      </w:pPr>
      <w:r w:rsidRPr="005F1DD4">
        <w:rPr>
          <w:rFonts w:ascii="Times New Roman" w:hAnsi="Times New Roman"/>
          <w:b/>
          <w:sz w:val="24"/>
          <w:szCs w:val="24"/>
        </w:rPr>
        <w:t xml:space="preserve">Krizová situace </w:t>
      </w:r>
      <w:r w:rsidRPr="005F1DD4">
        <w:rPr>
          <w:rFonts w:ascii="Times New Roman" w:hAnsi="Times New Roman"/>
          <w:sz w:val="24"/>
          <w:szCs w:val="24"/>
        </w:rPr>
        <w:t>může být vyvolaná vojenským ohrožením, živelní pohromou, technologickou nebo průmyslovou havárií, protispolečenskými vystoupeními, hromadnou migrací obyvatelstva, terorismem, politickým násilím apod. Je to takové narušení života společnosti, kdy hrozí jeho výrazná degradace.</w:t>
      </w:r>
    </w:p>
    <w:p w:rsidR="00E57CF1" w:rsidRDefault="00E57CF1" w:rsidP="00E57CF1">
      <w:pPr>
        <w:jc w:val="both"/>
        <w:rPr>
          <w:rFonts w:ascii="Times New Roman" w:hAnsi="Times New Roman"/>
          <w:sz w:val="24"/>
          <w:szCs w:val="24"/>
        </w:rPr>
      </w:pPr>
      <w:r>
        <w:rPr>
          <w:rFonts w:ascii="Times New Roman" w:hAnsi="Times New Roman"/>
          <w:sz w:val="24"/>
          <w:szCs w:val="24"/>
        </w:rPr>
        <w:t>Dle z</w:t>
      </w:r>
      <w:r w:rsidRPr="005F1DD4">
        <w:rPr>
          <w:rFonts w:ascii="Times New Roman" w:hAnsi="Times New Roman"/>
          <w:sz w:val="24"/>
          <w:szCs w:val="24"/>
        </w:rPr>
        <w:t>ákon</w:t>
      </w:r>
      <w:r>
        <w:rPr>
          <w:rFonts w:ascii="Times New Roman" w:hAnsi="Times New Roman"/>
          <w:sz w:val="24"/>
          <w:szCs w:val="24"/>
        </w:rPr>
        <w:t>a</w:t>
      </w:r>
      <w:r w:rsidRPr="005F1DD4">
        <w:rPr>
          <w:rFonts w:ascii="Times New Roman" w:hAnsi="Times New Roman"/>
          <w:sz w:val="24"/>
          <w:szCs w:val="24"/>
        </w:rPr>
        <w:t xml:space="preserve"> č. 240/2000 Sb., o krizovém řízení: </w:t>
      </w:r>
    </w:p>
    <w:p w:rsidR="005F1DD4" w:rsidRDefault="005F1DD4" w:rsidP="0040310B">
      <w:pPr>
        <w:jc w:val="both"/>
        <w:rPr>
          <w:rFonts w:ascii="Times New Roman" w:hAnsi="Times New Roman"/>
          <w:sz w:val="24"/>
          <w:szCs w:val="24"/>
        </w:rPr>
      </w:pPr>
      <w:r w:rsidRPr="00E57CF1">
        <w:rPr>
          <w:rFonts w:ascii="Times New Roman" w:hAnsi="Times New Roman"/>
          <w:b/>
          <w:sz w:val="24"/>
          <w:szCs w:val="24"/>
        </w:rPr>
        <w:t>Krizový stav</w:t>
      </w:r>
      <w:r w:rsidRPr="005F1DD4">
        <w:rPr>
          <w:rFonts w:ascii="Times New Roman" w:hAnsi="Times New Roman"/>
          <w:sz w:val="24"/>
          <w:szCs w:val="24"/>
        </w:rPr>
        <w:t xml:space="preserve"> je stav, který vyhlašuje hejtman kraje nebo primátor hl. m. Prahy (stav nebezpečí), vláda ČR, popř. předseda vlády ČR (nouzový stav) nebo Parlament ČR (stav ohrožení státu a válečný stav) v případě hrozby nebo vzniku krizové situace a v přímé závislosti na jejím charakteru a rozsahu.</w:t>
      </w:r>
    </w:p>
    <w:p w:rsidR="00E57CF1" w:rsidRDefault="00E57CF1" w:rsidP="0040310B">
      <w:pPr>
        <w:jc w:val="both"/>
        <w:rPr>
          <w:rFonts w:ascii="Times New Roman" w:hAnsi="Times New Roman"/>
          <w:sz w:val="24"/>
          <w:szCs w:val="24"/>
        </w:rPr>
      </w:pPr>
      <w:r>
        <w:rPr>
          <w:rFonts w:ascii="Times New Roman" w:hAnsi="Times New Roman"/>
          <w:sz w:val="24"/>
          <w:szCs w:val="24"/>
        </w:rPr>
        <w:t>V</w:t>
      </w:r>
      <w:r w:rsidRPr="00E57CF1">
        <w:rPr>
          <w:rFonts w:ascii="Times New Roman" w:hAnsi="Times New Roman"/>
          <w:sz w:val="24"/>
          <w:szCs w:val="24"/>
        </w:rPr>
        <w:t>yhlášení</w:t>
      </w:r>
      <w:r>
        <w:rPr>
          <w:rFonts w:ascii="Times New Roman" w:hAnsi="Times New Roman"/>
          <w:sz w:val="24"/>
          <w:szCs w:val="24"/>
        </w:rPr>
        <w:t>m</w:t>
      </w:r>
      <w:r w:rsidRPr="00E57CF1">
        <w:rPr>
          <w:rFonts w:ascii="Times New Roman" w:hAnsi="Times New Roman"/>
          <w:sz w:val="24"/>
          <w:szCs w:val="24"/>
        </w:rPr>
        <w:t xml:space="preserve"> </w:t>
      </w:r>
      <w:r w:rsidRPr="00E57CF1">
        <w:rPr>
          <w:rFonts w:ascii="Times New Roman" w:hAnsi="Times New Roman"/>
          <w:b/>
          <w:sz w:val="24"/>
          <w:szCs w:val="24"/>
        </w:rPr>
        <w:t>krizového stavu</w:t>
      </w:r>
      <w:r w:rsidRPr="00E57CF1">
        <w:rPr>
          <w:rFonts w:ascii="Times New Roman" w:hAnsi="Times New Roman"/>
          <w:sz w:val="24"/>
          <w:szCs w:val="24"/>
        </w:rPr>
        <w:t xml:space="preserve"> </w:t>
      </w:r>
      <w:r>
        <w:rPr>
          <w:rFonts w:ascii="Times New Roman" w:hAnsi="Times New Roman"/>
          <w:sz w:val="24"/>
          <w:szCs w:val="24"/>
        </w:rPr>
        <w:t>dochází k legalizaci</w:t>
      </w:r>
      <w:r w:rsidRPr="00E57CF1">
        <w:rPr>
          <w:rFonts w:ascii="Times New Roman" w:hAnsi="Times New Roman"/>
          <w:sz w:val="24"/>
          <w:szCs w:val="24"/>
        </w:rPr>
        <w:t xml:space="preserve"> (potvrzení zákonem) změn kompetencí jednotlivých orgánů krizového řízení, jakož i rozsahu, způsobů a forem získávání zdrojů, potřebných k překonání dané krizové situace (krize). </w:t>
      </w:r>
    </w:p>
    <w:p w:rsidR="00E57CF1" w:rsidRDefault="00E57CF1" w:rsidP="0040310B">
      <w:pPr>
        <w:jc w:val="both"/>
        <w:rPr>
          <w:rFonts w:ascii="Times New Roman" w:hAnsi="Times New Roman"/>
          <w:sz w:val="24"/>
          <w:szCs w:val="24"/>
        </w:rPr>
      </w:pPr>
      <w:r w:rsidRPr="00E57CF1">
        <w:rPr>
          <w:rFonts w:ascii="Times New Roman" w:hAnsi="Times New Roman"/>
          <w:sz w:val="24"/>
          <w:szCs w:val="24"/>
        </w:rPr>
        <w:t xml:space="preserve">Právo vyhlásit krizový stav má pouze orgán krizového řízení, a to za podmínek přesně stanovených zákonem. Vyhlášení krizového stavu lze tedy považovat: </w:t>
      </w:r>
    </w:p>
    <w:p w:rsidR="00E57CF1" w:rsidRDefault="00E57CF1" w:rsidP="0040310B">
      <w:pPr>
        <w:jc w:val="both"/>
        <w:rPr>
          <w:rFonts w:ascii="Times New Roman" w:hAnsi="Times New Roman"/>
          <w:sz w:val="24"/>
          <w:szCs w:val="24"/>
        </w:rPr>
      </w:pPr>
      <w:r w:rsidRPr="00E57CF1">
        <w:rPr>
          <w:rFonts w:ascii="Times New Roman" w:hAnsi="Times New Roman"/>
          <w:sz w:val="24"/>
          <w:szCs w:val="24"/>
        </w:rPr>
        <w:t>a) za oficiální potvrzení (uznání) skutečnosti, že dané jevy odpovídají kritériím pro naplnění pojmu krizová situace,</w:t>
      </w:r>
    </w:p>
    <w:p w:rsidR="00E57CF1" w:rsidRDefault="00E57CF1" w:rsidP="0040310B">
      <w:pPr>
        <w:jc w:val="both"/>
        <w:rPr>
          <w:rFonts w:ascii="Times New Roman" w:hAnsi="Times New Roman"/>
          <w:sz w:val="24"/>
          <w:szCs w:val="24"/>
        </w:rPr>
      </w:pPr>
      <w:r w:rsidRPr="00E57CF1">
        <w:rPr>
          <w:rFonts w:ascii="Times New Roman" w:hAnsi="Times New Roman"/>
          <w:sz w:val="24"/>
          <w:szCs w:val="24"/>
        </w:rPr>
        <w:lastRenderedPageBreak/>
        <w:t xml:space="preserve"> b) za právní akt, kterým stát (nebo kraj) přebírá odpovědnost, včetně finančního vypořádání, za řešení krize.</w:t>
      </w:r>
    </w:p>
    <w:p w:rsidR="002429D9" w:rsidRPr="002429D9" w:rsidRDefault="002429D9" w:rsidP="002429D9">
      <w:pPr>
        <w:jc w:val="both"/>
        <w:rPr>
          <w:rFonts w:ascii="Times New Roman" w:hAnsi="Times New Roman"/>
          <w:sz w:val="24"/>
          <w:szCs w:val="24"/>
        </w:rPr>
      </w:pPr>
      <w:r w:rsidRPr="00F60D95">
        <w:rPr>
          <w:rFonts w:ascii="Times New Roman" w:hAnsi="Times New Roman"/>
          <w:b/>
          <w:sz w:val="24"/>
          <w:szCs w:val="24"/>
        </w:rPr>
        <w:t>Krizové stavy</w:t>
      </w:r>
      <w:r w:rsidRPr="002429D9">
        <w:rPr>
          <w:rFonts w:ascii="Times New Roman" w:hAnsi="Times New Roman"/>
          <w:sz w:val="24"/>
          <w:szCs w:val="24"/>
        </w:rPr>
        <w:t xml:space="preserve"> </w:t>
      </w:r>
      <w:r w:rsidR="00C63C8D">
        <w:rPr>
          <w:rFonts w:ascii="Times New Roman" w:hAnsi="Times New Roman"/>
          <w:sz w:val="24"/>
          <w:szCs w:val="24"/>
        </w:rPr>
        <w:t>dle</w:t>
      </w:r>
      <w:r w:rsidRPr="002429D9">
        <w:rPr>
          <w:rFonts w:ascii="Times New Roman" w:hAnsi="Times New Roman"/>
          <w:sz w:val="24"/>
          <w:szCs w:val="24"/>
        </w:rPr>
        <w:t xml:space="preserve"> </w:t>
      </w:r>
      <w:r w:rsidR="00F60D95">
        <w:rPr>
          <w:rFonts w:ascii="Times New Roman" w:hAnsi="Times New Roman"/>
          <w:sz w:val="24"/>
          <w:szCs w:val="24"/>
        </w:rPr>
        <w:t xml:space="preserve">Ústavy ČR (čl. 43) a </w:t>
      </w:r>
      <w:r w:rsidRPr="002429D9">
        <w:rPr>
          <w:rFonts w:ascii="Times New Roman" w:hAnsi="Times New Roman"/>
          <w:sz w:val="24"/>
          <w:szCs w:val="24"/>
        </w:rPr>
        <w:t>zákon</w:t>
      </w:r>
      <w:r w:rsidR="00C63C8D">
        <w:rPr>
          <w:rFonts w:ascii="Times New Roman" w:hAnsi="Times New Roman"/>
          <w:sz w:val="24"/>
          <w:szCs w:val="24"/>
        </w:rPr>
        <w:t>a</w:t>
      </w:r>
      <w:r w:rsidRPr="002429D9">
        <w:rPr>
          <w:rFonts w:ascii="Times New Roman" w:hAnsi="Times New Roman"/>
          <w:sz w:val="24"/>
          <w:szCs w:val="24"/>
        </w:rPr>
        <w:t xml:space="preserve"> 240/2000 Sb., o krizovém řízení a o změně některých zákonů, ve znění pozdějších předpisů, jsou</w:t>
      </w:r>
      <w:r w:rsidR="00C63C8D">
        <w:rPr>
          <w:rFonts w:ascii="Times New Roman" w:hAnsi="Times New Roman"/>
          <w:sz w:val="24"/>
          <w:szCs w:val="24"/>
        </w:rPr>
        <w:t>:</w:t>
      </w:r>
    </w:p>
    <w:p w:rsidR="002429D9" w:rsidRPr="002429D9" w:rsidRDefault="002429D9" w:rsidP="002429D9">
      <w:pPr>
        <w:numPr>
          <w:ilvl w:val="0"/>
          <w:numId w:val="10"/>
        </w:numPr>
        <w:jc w:val="both"/>
        <w:rPr>
          <w:rFonts w:ascii="Times New Roman" w:hAnsi="Times New Roman"/>
          <w:sz w:val="24"/>
          <w:szCs w:val="24"/>
        </w:rPr>
      </w:pPr>
      <w:r w:rsidRPr="00C63C8D">
        <w:rPr>
          <w:rFonts w:ascii="Times New Roman" w:hAnsi="Times New Roman"/>
          <w:b/>
          <w:sz w:val="24"/>
          <w:szCs w:val="24"/>
        </w:rPr>
        <w:t>Stav nebezpečí</w:t>
      </w:r>
      <w:r w:rsidRPr="002429D9">
        <w:rPr>
          <w:rFonts w:ascii="Times New Roman" w:hAnsi="Times New Roman"/>
          <w:sz w:val="24"/>
          <w:szCs w:val="24"/>
        </w:rPr>
        <w:t xml:space="preserve"> vyhlašuje hejtman kraje, jsou-li ohroženy životy, zdraví, majetek, životní prostředí a není-li toto ohrožení možno odvrátit běžnou činností správních úřadů, orgánů krajů a obcí, složek IZS, nebo subjektů kritické infrastruktury. Stav nebezpečí může hejtman vyhlásit pro území kraje nebo jeho část na dobu maximálně 30 dnů. Tuto dobu může hejtman prodloužit jen se souhlasem vlády.</w:t>
      </w:r>
    </w:p>
    <w:p w:rsidR="002429D9" w:rsidRPr="002429D9" w:rsidRDefault="002429D9" w:rsidP="002429D9">
      <w:pPr>
        <w:numPr>
          <w:ilvl w:val="0"/>
          <w:numId w:val="10"/>
        </w:numPr>
        <w:jc w:val="both"/>
        <w:rPr>
          <w:rFonts w:ascii="Times New Roman" w:hAnsi="Times New Roman"/>
          <w:sz w:val="24"/>
          <w:szCs w:val="24"/>
        </w:rPr>
      </w:pPr>
      <w:r w:rsidRPr="00C63C8D">
        <w:rPr>
          <w:rFonts w:ascii="Times New Roman" w:hAnsi="Times New Roman"/>
          <w:b/>
          <w:sz w:val="24"/>
          <w:szCs w:val="24"/>
        </w:rPr>
        <w:t>Nouzový stav</w:t>
      </w:r>
      <w:r w:rsidRPr="002429D9">
        <w:rPr>
          <w:rFonts w:ascii="Times New Roman" w:hAnsi="Times New Roman"/>
          <w:sz w:val="24"/>
          <w:szCs w:val="24"/>
        </w:rPr>
        <w:t xml:space="preserve"> vyhlašuje vláda, není-li možné účelně odvrátit vzniklé ohrožení v rámci stavu nebezpečí. Vyhlašuje jej pro určité území na dobu maximálně 30 dnů. Tato doba se může prodloužit jen po předchozím souhlasu Poslanecké sněmovny. Je-li nebezpečí z prodlení, může vyhlásit nouzový stav předseda vlády. Jeho rozhodnutí vláda do 24 hodin od vyhlášení schválí nebo zruší.</w:t>
      </w:r>
    </w:p>
    <w:p w:rsidR="002429D9" w:rsidRPr="002429D9" w:rsidRDefault="002429D9" w:rsidP="002429D9">
      <w:pPr>
        <w:numPr>
          <w:ilvl w:val="0"/>
          <w:numId w:val="10"/>
        </w:numPr>
        <w:jc w:val="both"/>
        <w:rPr>
          <w:rFonts w:ascii="Times New Roman" w:hAnsi="Times New Roman"/>
          <w:sz w:val="24"/>
          <w:szCs w:val="24"/>
        </w:rPr>
      </w:pPr>
      <w:r w:rsidRPr="00C63C8D">
        <w:rPr>
          <w:rFonts w:ascii="Times New Roman" w:hAnsi="Times New Roman"/>
          <w:b/>
          <w:sz w:val="24"/>
          <w:szCs w:val="24"/>
        </w:rPr>
        <w:t>Stav ohrožení</w:t>
      </w:r>
      <w:r w:rsidRPr="002429D9">
        <w:rPr>
          <w:rFonts w:ascii="Times New Roman" w:hAnsi="Times New Roman"/>
          <w:sz w:val="24"/>
          <w:szCs w:val="24"/>
        </w:rPr>
        <w:t xml:space="preserve"> státu vyhlašuje Parlament na návrh vlády, je-li bezprostředně ohrožena svrchovanost nebo územní celistvost státu nebo jeho demokratické základy. (také zákon č. 110/1998 Sb., o bezpečnosti České republiky)</w:t>
      </w:r>
    </w:p>
    <w:p w:rsidR="002429D9" w:rsidRPr="002429D9" w:rsidRDefault="002429D9" w:rsidP="002429D9">
      <w:pPr>
        <w:numPr>
          <w:ilvl w:val="0"/>
          <w:numId w:val="11"/>
        </w:numPr>
        <w:jc w:val="both"/>
        <w:rPr>
          <w:rFonts w:ascii="Times New Roman" w:hAnsi="Times New Roman"/>
          <w:sz w:val="24"/>
          <w:szCs w:val="24"/>
        </w:rPr>
      </w:pPr>
      <w:r w:rsidRPr="00C63C8D">
        <w:rPr>
          <w:rFonts w:ascii="Times New Roman" w:hAnsi="Times New Roman"/>
          <w:b/>
          <w:sz w:val="24"/>
          <w:szCs w:val="24"/>
        </w:rPr>
        <w:t>Válečný stav</w:t>
      </w:r>
      <w:r w:rsidRPr="002429D9">
        <w:rPr>
          <w:rFonts w:ascii="Times New Roman" w:hAnsi="Times New Roman"/>
          <w:sz w:val="24"/>
          <w:szCs w:val="24"/>
        </w:rPr>
        <w:t xml:space="preserve"> se vyhlašuje pouze v případě napadení nebo je-li třeba plnit mezinárodní smluvní závazky o společné obraně proti napadení. (zákon č. 1/1993 Sb., Ústava České republiky, zákon č. 110/1998 Sb., o bezpečnosti České republiky, zákon č. 222/1999 Sb., o zajištění obrany České republiky)</w:t>
      </w:r>
    </w:p>
    <w:p w:rsidR="002429D9" w:rsidRPr="00A75C5A" w:rsidRDefault="002429D9" w:rsidP="0040310B">
      <w:pPr>
        <w:jc w:val="both"/>
        <w:rPr>
          <w:rFonts w:ascii="Times New Roman" w:hAnsi="Times New Roman"/>
          <w:sz w:val="24"/>
          <w:szCs w:val="24"/>
        </w:rPr>
      </w:pPr>
    </w:p>
    <w:p w:rsidR="00AA1801" w:rsidRPr="0040310B" w:rsidRDefault="00F60D95" w:rsidP="0040310B">
      <w:pPr>
        <w:pStyle w:val="Odstavecseseznamem"/>
        <w:numPr>
          <w:ilvl w:val="0"/>
          <w:numId w:val="8"/>
        </w:numPr>
        <w:ind w:left="284" w:hanging="284"/>
        <w:jc w:val="both"/>
        <w:rPr>
          <w:rFonts w:ascii="Times New Roman" w:hAnsi="Times New Roman"/>
          <w:sz w:val="24"/>
          <w:szCs w:val="24"/>
        </w:rPr>
      </w:pPr>
      <w:r>
        <w:rPr>
          <w:rFonts w:ascii="Times New Roman" w:hAnsi="Times New Roman"/>
          <w:sz w:val="24"/>
          <w:szCs w:val="24"/>
        </w:rPr>
        <w:t xml:space="preserve">Obrana státu. </w:t>
      </w:r>
      <w:bookmarkStart w:id="1" w:name="_Hlk520019134"/>
      <w:r w:rsidR="0040310B" w:rsidRPr="0040310B">
        <w:rPr>
          <w:rFonts w:ascii="Times New Roman" w:hAnsi="Times New Roman"/>
          <w:sz w:val="24"/>
          <w:szCs w:val="24"/>
        </w:rPr>
        <w:t xml:space="preserve">Povinnosti subjektů </w:t>
      </w:r>
      <w:bookmarkEnd w:id="1"/>
      <w:r w:rsidR="0040310B" w:rsidRPr="0040310B">
        <w:rPr>
          <w:rFonts w:ascii="Times New Roman" w:hAnsi="Times New Roman"/>
          <w:sz w:val="24"/>
          <w:szCs w:val="24"/>
        </w:rPr>
        <w:t>po vyhlášení krizových stavů</w:t>
      </w:r>
    </w:p>
    <w:p w:rsidR="002429D9" w:rsidRDefault="00F60D95" w:rsidP="00F60D95">
      <w:pPr>
        <w:jc w:val="both"/>
        <w:rPr>
          <w:rFonts w:ascii="Times New Roman" w:hAnsi="Times New Roman"/>
          <w:sz w:val="24"/>
          <w:szCs w:val="24"/>
        </w:rPr>
      </w:pPr>
      <w:r w:rsidRPr="00F60D95">
        <w:rPr>
          <w:rFonts w:ascii="Times New Roman" w:hAnsi="Times New Roman"/>
          <w:b/>
          <w:sz w:val="24"/>
          <w:szCs w:val="24"/>
        </w:rPr>
        <w:t>Obrana státu</w:t>
      </w:r>
      <w:r>
        <w:rPr>
          <w:rFonts w:ascii="Times New Roman" w:hAnsi="Times New Roman"/>
          <w:b/>
          <w:sz w:val="24"/>
          <w:szCs w:val="24"/>
        </w:rPr>
        <w:t xml:space="preserve"> </w:t>
      </w:r>
      <w:r>
        <w:rPr>
          <w:rFonts w:ascii="Times New Roman" w:hAnsi="Times New Roman"/>
          <w:sz w:val="24"/>
          <w:szCs w:val="24"/>
        </w:rPr>
        <w:t xml:space="preserve">je </w:t>
      </w:r>
      <w:r w:rsidRPr="00F60D95">
        <w:rPr>
          <w:rFonts w:ascii="Times New Roman" w:hAnsi="Times New Roman"/>
          <w:sz w:val="24"/>
          <w:szCs w:val="24"/>
        </w:rPr>
        <w:t>souhrn opatření k zajištění svrchovanosti, územní celistvosti, principů demokracie a právního státu, ochrany života obyvatel a jejich majetku před vnějším napadením</w:t>
      </w:r>
      <w:r>
        <w:rPr>
          <w:rFonts w:ascii="Times New Roman" w:hAnsi="Times New Roman"/>
          <w:sz w:val="24"/>
          <w:szCs w:val="24"/>
        </w:rPr>
        <w:t xml:space="preserve"> </w:t>
      </w:r>
      <w:r w:rsidRPr="00F60D95">
        <w:rPr>
          <w:rFonts w:ascii="Times New Roman" w:hAnsi="Times New Roman"/>
          <w:sz w:val="24"/>
          <w:szCs w:val="24"/>
        </w:rPr>
        <w:t>řízení a organizace obrany státu = výstavba, příprava a řízení ozbrojených sil, operační příprava státního území, plánování obrany státu, opatření v národním hospodářství a na všech úsecích veřejného života za přípravu a zajišťování obrany státu odpovídá vláda</w:t>
      </w:r>
      <w:r>
        <w:rPr>
          <w:rFonts w:ascii="Times New Roman" w:hAnsi="Times New Roman"/>
          <w:sz w:val="24"/>
          <w:szCs w:val="24"/>
        </w:rPr>
        <w:t>.</w:t>
      </w:r>
    </w:p>
    <w:p w:rsidR="00F60D95" w:rsidRDefault="00F60D95" w:rsidP="00F60D95">
      <w:pPr>
        <w:jc w:val="both"/>
        <w:rPr>
          <w:rFonts w:ascii="Times New Roman" w:hAnsi="Times New Roman"/>
          <w:sz w:val="24"/>
          <w:szCs w:val="24"/>
        </w:rPr>
      </w:pPr>
      <w:r w:rsidRPr="00F60D95">
        <w:rPr>
          <w:rFonts w:ascii="Times New Roman" w:hAnsi="Times New Roman"/>
          <w:sz w:val="24"/>
          <w:szCs w:val="24"/>
        </w:rPr>
        <w:t>Povinnosti subjektů</w:t>
      </w:r>
      <w:r>
        <w:rPr>
          <w:rFonts w:ascii="Times New Roman" w:hAnsi="Times New Roman"/>
          <w:sz w:val="24"/>
          <w:szCs w:val="24"/>
        </w:rPr>
        <w:t>:</w:t>
      </w:r>
    </w:p>
    <w:p w:rsidR="00000000" w:rsidRPr="00F60D95" w:rsidRDefault="00DC1FE1" w:rsidP="00F60D95">
      <w:pPr>
        <w:pStyle w:val="Odstavecseseznamem"/>
        <w:numPr>
          <w:ilvl w:val="0"/>
          <w:numId w:val="12"/>
        </w:numPr>
        <w:jc w:val="both"/>
        <w:rPr>
          <w:rFonts w:ascii="Times New Roman" w:hAnsi="Times New Roman"/>
          <w:sz w:val="24"/>
          <w:szCs w:val="24"/>
        </w:rPr>
      </w:pPr>
      <w:r w:rsidRPr="00F60D95">
        <w:rPr>
          <w:rFonts w:ascii="Times New Roman" w:hAnsi="Times New Roman"/>
          <w:sz w:val="24"/>
          <w:szCs w:val="24"/>
        </w:rPr>
        <w:t>za stavu ohrožení státu nebo za válečného stavu stát zajišťuje obra</w:t>
      </w:r>
      <w:r w:rsidRPr="00F60D95">
        <w:rPr>
          <w:rFonts w:ascii="Times New Roman" w:hAnsi="Times New Roman"/>
          <w:sz w:val="24"/>
          <w:szCs w:val="24"/>
        </w:rPr>
        <w:t xml:space="preserve">nu vlastními věcnými </w:t>
      </w:r>
      <w:r w:rsidR="00F60D95" w:rsidRPr="00F60D95">
        <w:rPr>
          <w:rFonts w:ascii="Times New Roman" w:hAnsi="Times New Roman"/>
          <w:sz w:val="24"/>
          <w:szCs w:val="24"/>
        </w:rPr>
        <w:t>prostředky – nepostačují</w:t>
      </w:r>
      <w:r w:rsidRPr="00F60D95">
        <w:rPr>
          <w:rFonts w:ascii="Times New Roman" w:hAnsi="Times New Roman"/>
          <w:sz w:val="24"/>
          <w:szCs w:val="24"/>
        </w:rPr>
        <w:t xml:space="preserve">-li, může obecní úřad právnické nebo fyzické osobě, která má věcné prostředky potřebné k zajišťování obrany státu, uložit povinnost tyto prostředky pro obranu státu </w:t>
      </w:r>
      <w:r w:rsidR="00F60D95" w:rsidRPr="00F60D95">
        <w:rPr>
          <w:rFonts w:ascii="Times New Roman" w:hAnsi="Times New Roman"/>
          <w:sz w:val="24"/>
          <w:szCs w:val="24"/>
        </w:rPr>
        <w:t>poskytnout – po</w:t>
      </w:r>
      <w:r w:rsidRPr="00F60D95">
        <w:rPr>
          <w:rFonts w:ascii="Times New Roman" w:hAnsi="Times New Roman"/>
          <w:sz w:val="24"/>
          <w:szCs w:val="24"/>
        </w:rPr>
        <w:t xml:space="preserve"> zániku důvodů, pro které byly </w:t>
      </w:r>
      <w:r w:rsidRPr="00F60D95">
        <w:rPr>
          <w:rFonts w:ascii="Times New Roman" w:hAnsi="Times New Roman"/>
          <w:sz w:val="24"/>
          <w:szCs w:val="24"/>
        </w:rPr>
        <w:t>poskytnuty, se vrátí vlastníkovi</w:t>
      </w:r>
      <w:r w:rsidR="00F60D95">
        <w:rPr>
          <w:rFonts w:ascii="Times New Roman" w:hAnsi="Times New Roman"/>
          <w:sz w:val="24"/>
          <w:szCs w:val="24"/>
        </w:rPr>
        <w:t>,</w:t>
      </w:r>
    </w:p>
    <w:p w:rsidR="00000000" w:rsidRPr="00F60D95" w:rsidRDefault="00DC1FE1" w:rsidP="00F60D95">
      <w:pPr>
        <w:pStyle w:val="Odstavecseseznamem"/>
        <w:numPr>
          <w:ilvl w:val="0"/>
          <w:numId w:val="12"/>
        </w:numPr>
        <w:jc w:val="both"/>
        <w:rPr>
          <w:rFonts w:ascii="Times New Roman" w:hAnsi="Times New Roman"/>
          <w:sz w:val="24"/>
          <w:szCs w:val="24"/>
        </w:rPr>
      </w:pPr>
      <w:r w:rsidRPr="00F60D95">
        <w:rPr>
          <w:rFonts w:ascii="Times New Roman" w:hAnsi="Times New Roman"/>
          <w:sz w:val="24"/>
          <w:szCs w:val="24"/>
        </w:rPr>
        <w:t xml:space="preserve">pracovní povinnost i výpomoc za stavu ohrožení státu nebo za válečného stavu může být uložena všem fyzickým </w:t>
      </w:r>
      <w:r w:rsidR="00F60D95" w:rsidRPr="00F60D95">
        <w:rPr>
          <w:rFonts w:ascii="Times New Roman" w:hAnsi="Times New Roman"/>
          <w:sz w:val="24"/>
          <w:szCs w:val="24"/>
        </w:rPr>
        <w:t>osobám</w:t>
      </w:r>
      <w:r w:rsidR="0029586E">
        <w:rPr>
          <w:rFonts w:ascii="Times New Roman" w:hAnsi="Times New Roman"/>
          <w:sz w:val="24"/>
          <w:szCs w:val="24"/>
        </w:rPr>
        <w:t>,</w:t>
      </w:r>
    </w:p>
    <w:p w:rsidR="00000000" w:rsidRPr="00F60D95" w:rsidRDefault="00DC1FE1" w:rsidP="00F60D95">
      <w:pPr>
        <w:pStyle w:val="Odstavecseseznamem"/>
        <w:numPr>
          <w:ilvl w:val="0"/>
          <w:numId w:val="12"/>
        </w:numPr>
        <w:jc w:val="both"/>
        <w:rPr>
          <w:rFonts w:ascii="Times New Roman" w:hAnsi="Times New Roman"/>
          <w:sz w:val="24"/>
          <w:szCs w:val="24"/>
        </w:rPr>
      </w:pPr>
      <w:r w:rsidRPr="00F60D95">
        <w:rPr>
          <w:rFonts w:ascii="Times New Roman" w:hAnsi="Times New Roman"/>
          <w:sz w:val="24"/>
          <w:szCs w:val="24"/>
        </w:rPr>
        <w:lastRenderedPageBreak/>
        <w:t>fyzické osoby, kterým byla uložena pracovní povinnost, jsou povinny podrobit se lékařské prohlídce a nastoupit k výkonu práce u určeného zaměstnavatele ve stanoveném čase a do určeného místa</w:t>
      </w:r>
      <w:r w:rsidR="0029586E">
        <w:rPr>
          <w:rFonts w:ascii="Times New Roman" w:hAnsi="Times New Roman"/>
          <w:sz w:val="24"/>
          <w:szCs w:val="24"/>
        </w:rPr>
        <w:t>,</w:t>
      </w:r>
      <w:r w:rsidRPr="00F60D95">
        <w:rPr>
          <w:rFonts w:ascii="Times New Roman" w:hAnsi="Times New Roman"/>
          <w:sz w:val="24"/>
          <w:szCs w:val="24"/>
        </w:rPr>
        <w:t xml:space="preserve"> </w:t>
      </w:r>
    </w:p>
    <w:p w:rsidR="00F60D95" w:rsidRPr="0029586E" w:rsidRDefault="00DC1FE1" w:rsidP="00E84F94">
      <w:pPr>
        <w:pStyle w:val="Odstavecseseznamem"/>
        <w:numPr>
          <w:ilvl w:val="0"/>
          <w:numId w:val="12"/>
        </w:numPr>
        <w:jc w:val="both"/>
        <w:rPr>
          <w:rFonts w:ascii="Times New Roman" w:hAnsi="Times New Roman"/>
          <w:sz w:val="24"/>
          <w:szCs w:val="24"/>
        </w:rPr>
      </w:pPr>
      <w:r w:rsidRPr="0029586E">
        <w:rPr>
          <w:rFonts w:ascii="Times New Roman" w:hAnsi="Times New Roman"/>
          <w:sz w:val="24"/>
          <w:szCs w:val="24"/>
        </w:rPr>
        <w:t>o povolání k plnění pracovní povinnosti i výpomoci rozhoduje příslušný obecní úřad povolávacím příkazem</w:t>
      </w:r>
      <w:r w:rsidR="0029586E">
        <w:rPr>
          <w:rFonts w:ascii="Times New Roman" w:hAnsi="Times New Roman"/>
          <w:sz w:val="24"/>
          <w:szCs w:val="24"/>
        </w:rPr>
        <w:t>.</w:t>
      </w:r>
      <w:bookmarkStart w:id="2" w:name="_GoBack"/>
      <w:bookmarkEnd w:id="2"/>
    </w:p>
    <w:p w:rsidR="002429D9" w:rsidRPr="002429D9" w:rsidRDefault="002429D9" w:rsidP="002429D9">
      <w:pPr>
        <w:jc w:val="both"/>
        <w:rPr>
          <w:rFonts w:ascii="Times New Roman" w:hAnsi="Times New Roman"/>
          <w:sz w:val="24"/>
          <w:szCs w:val="24"/>
        </w:rPr>
      </w:pPr>
      <w:r w:rsidRPr="002429D9">
        <w:rPr>
          <w:rFonts w:ascii="Times New Roman" w:hAnsi="Times New Roman"/>
          <w:b/>
          <w:sz w:val="24"/>
          <w:szCs w:val="24"/>
        </w:rPr>
        <w:t>Fyzická osoba</w:t>
      </w:r>
      <w:r w:rsidRPr="002429D9">
        <w:rPr>
          <w:rFonts w:ascii="Times New Roman" w:hAnsi="Times New Roman"/>
          <w:sz w:val="24"/>
          <w:szCs w:val="24"/>
        </w:rPr>
        <w:t xml:space="preserve"> je v době </w:t>
      </w:r>
      <w:r w:rsidRPr="002429D9">
        <w:rPr>
          <w:rFonts w:ascii="Times New Roman" w:hAnsi="Times New Roman"/>
          <w:b/>
          <w:sz w:val="24"/>
          <w:szCs w:val="24"/>
        </w:rPr>
        <w:t>krizového stavu</w:t>
      </w:r>
      <w:r w:rsidRPr="002429D9">
        <w:rPr>
          <w:rFonts w:ascii="Times New Roman" w:hAnsi="Times New Roman"/>
          <w:sz w:val="24"/>
          <w:szCs w:val="24"/>
        </w:rPr>
        <w:t xml:space="preserve"> povinna např. strpět omezení vyplývající z krizových opatření, vykonávat uloženou pracovní povinnost nebo pracovní výpomoc, nebo poskytnout požadované věcné prostředky. Za </w:t>
      </w:r>
      <w:r w:rsidRPr="002429D9">
        <w:rPr>
          <w:rFonts w:ascii="Times New Roman" w:hAnsi="Times New Roman"/>
          <w:b/>
          <w:sz w:val="24"/>
          <w:szCs w:val="24"/>
        </w:rPr>
        <w:t>nouzového stavu</w:t>
      </w:r>
      <w:r w:rsidRPr="002429D9">
        <w:rPr>
          <w:rFonts w:ascii="Times New Roman" w:hAnsi="Times New Roman"/>
          <w:sz w:val="24"/>
          <w:szCs w:val="24"/>
        </w:rPr>
        <w:t xml:space="preserve"> nebo za stavu ohrožení státu lze za určitých podmínek omezit právo nedotknutelnosti osoby a nedotknutelnosti obydlí, vlastnické a užívací právo právnických a fyzických osob k majetku, svobodu pohybu a pobytu, právo pokojně se shromažďovat, právo provozovat podnikatelskou činnost a právo na stávku.</w:t>
      </w:r>
    </w:p>
    <w:p w:rsidR="002429D9" w:rsidRPr="002429D9" w:rsidRDefault="002429D9" w:rsidP="002429D9">
      <w:pPr>
        <w:jc w:val="both"/>
        <w:rPr>
          <w:rFonts w:ascii="Times New Roman" w:hAnsi="Times New Roman"/>
          <w:sz w:val="24"/>
          <w:szCs w:val="24"/>
        </w:rPr>
      </w:pPr>
      <w:r w:rsidRPr="002429D9">
        <w:rPr>
          <w:rFonts w:ascii="Times New Roman" w:hAnsi="Times New Roman"/>
          <w:sz w:val="24"/>
          <w:szCs w:val="24"/>
        </w:rPr>
        <w:t xml:space="preserve">Za </w:t>
      </w:r>
      <w:r w:rsidRPr="002429D9">
        <w:rPr>
          <w:rFonts w:ascii="Times New Roman" w:hAnsi="Times New Roman"/>
          <w:b/>
          <w:sz w:val="24"/>
          <w:szCs w:val="24"/>
        </w:rPr>
        <w:t>stavu nebezpečí</w:t>
      </w:r>
      <w:r w:rsidRPr="002429D9">
        <w:rPr>
          <w:rFonts w:ascii="Times New Roman" w:hAnsi="Times New Roman"/>
          <w:sz w:val="24"/>
          <w:szCs w:val="24"/>
        </w:rPr>
        <w:t xml:space="preserve"> je hejtman oprávněn nařídit např. evakuaci obyvatelstva, zákaz vstupu a pohybu osob, pracovní povinnost, stavební práce a terénní úpravy, přednostní zásobování dětských, zdravotnických a sociálních zařízení, ozbrojených sil, bezpečnostních sborů nebo složek IZS a hlášení přechodné změny pobytu osob.</w:t>
      </w:r>
    </w:p>
    <w:p w:rsidR="0040310B" w:rsidRDefault="002429D9" w:rsidP="002429D9">
      <w:pPr>
        <w:jc w:val="both"/>
        <w:rPr>
          <w:rFonts w:ascii="Times New Roman" w:hAnsi="Times New Roman"/>
          <w:sz w:val="24"/>
          <w:szCs w:val="24"/>
        </w:rPr>
      </w:pPr>
      <w:r w:rsidRPr="002429D9">
        <w:rPr>
          <w:rFonts w:ascii="Times New Roman" w:hAnsi="Times New Roman"/>
          <w:sz w:val="24"/>
          <w:szCs w:val="24"/>
        </w:rPr>
        <w:t xml:space="preserve">Za </w:t>
      </w:r>
      <w:r w:rsidRPr="002429D9">
        <w:rPr>
          <w:rFonts w:ascii="Times New Roman" w:hAnsi="Times New Roman"/>
          <w:b/>
          <w:sz w:val="24"/>
          <w:szCs w:val="24"/>
        </w:rPr>
        <w:t>nouzového stavu</w:t>
      </w:r>
      <w:r w:rsidRPr="002429D9">
        <w:rPr>
          <w:rFonts w:ascii="Times New Roman" w:hAnsi="Times New Roman"/>
          <w:sz w:val="24"/>
          <w:szCs w:val="24"/>
        </w:rPr>
        <w:t xml:space="preserve"> je vláda oprávněna dále nařídit např.: přijmout opatření k ochraně státních hranic, nařídit nasazení vojáků v činné službě a jednotek PO.</w:t>
      </w:r>
    </w:p>
    <w:p w:rsidR="0040310B" w:rsidRPr="0040310B" w:rsidRDefault="00C33B2E" w:rsidP="0040310B">
      <w:pPr>
        <w:jc w:val="both"/>
        <w:rPr>
          <w:rFonts w:ascii="Times New Roman" w:hAnsi="Times New Roman"/>
          <w:sz w:val="24"/>
          <w:szCs w:val="24"/>
        </w:rPr>
      </w:pPr>
      <w:r>
        <w:rPr>
          <w:rFonts w:ascii="Times New Roman" w:hAnsi="Times New Roman"/>
          <w:sz w:val="24"/>
          <w:szCs w:val="24"/>
        </w:rPr>
        <w:t xml:space="preserve">3. </w:t>
      </w:r>
      <w:r w:rsidR="0040310B" w:rsidRPr="0040310B">
        <w:rPr>
          <w:rFonts w:ascii="Times New Roman" w:hAnsi="Times New Roman"/>
          <w:sz w:val="24"/>
          <w:szCs w:val="24"/>
        </w:rPr>
        <w:t>Ozbrojené síly České republiky</w:t>
      </w:r>
    </w:p>
    <w:p w:rsidR="0040310B" w:rsidRPr="0040310B" w:rsidRDefault="0040310B" w:rsidP="0040310B">
      <w:pPr>
        <w:jc w:val="both"/>
        <w:rPr>
          <w:rFonts w:ascii="Times New Roman" w:hAnsi="Times New Roman"/>
          <w:sz w:val="24"/>
          <w:szCs w:val="24"/>
        </w:rPr>
      </w:pPr>
      <w:r w:rsidRPr="0040310B">
        <w:rPr>
          <w:rFonts w:ascii="Times New Roman" w:hAnsi="Times New Roman"/>
          <w:sz w:val="24"/>
          <w:szCs w:val="24"/>
        </w:rPr>
        <w:t xml:space="preserve">Zákon č. 219/1999 Sb., o ozbrojených silách České republiky upravuje postavení, úkoly a členění ozbrojených sil České republiky. Ozbrojené síly tvoří armáda ČR, Vojenská kancelář prezidenta republiky a Hradní stráž. Ozbrojené síly tvoří vojáci v činné službě. Vojenská kancelář prezidenta republiky je vojenským útvarem ozbrojených sil České republiky. Od roku 1993 plní úkoly související s výkonem pravomocí prezidenta jako vrchního velitele ozbrojených sil a řídí Hradní stráž. </w:t>
      </w:r>
    </w:p>
    <w:p w:rsidR="0040310B" w:rsidRPr="0040310B" w:rsidRDefault="0040310B" w:rsidP="0040310B">
      <w:pPr>
        <w:jc w:val="both"/>
        <w:rPr>
          <w:rFonts w:ascii="Times New Roman" w:hAnsi="Times New Roman"/>
          <w:sz w:val="24"/>
          <w:szCs w:val="24"/>
        </w:rPr>
      </w:pPr>
      <w:r w:rsidRPr="0040310B">
        <w:rPr>
          <w:rFonts w:ascii="Times New Roman" w:hAnsi="Times New Roman"/>
          <w:sz w:val="24"/>
          <w:szCs w:val="24"/>
        </w:rPr>
        <w:t xml:space="preserve">Vojenská kancelář prezidenta republiky připravuje rozkazy prezidenta republiky na návrh ministra obrany ke jmenování a povyšování generálů, zpracovává agendu udělování a propůjčování státních vyznamenání příslušníků ozbrojených sil a sborů České republiky. Kancelář připravuje i návrhy dopisů, které prezident z titulu vrchního velitele ozbrojených sil odesílá. Současná koncepce Hradní stráže započatá v roce 1990 navazuje na úlohu, význam a pověst jednotky z první republiky a na definování zvláštní pozice Hradní stráže v dřívější československé armádě. Dnes je jednou ze tří součástí ozbrojených sil České republiky. Hradní stráž chrání sídlo hlavy státu, provádí ceremoniály úkony na Pražském hradě a další činnost stanovenou zákonem a předpisy. </w:t>
      </w:r>
    </w:p>
    <w:p w:rsidR="00C33B2E" w:rsidRDefault="00C33B2E" w:rsidP="0040310B">
      <w:pPr>
        <w:jc w:val="both"/>
        <w:rPr>
          <w:rFonts w:ascii="Times New Roman" w:hAnsi="Times New Roman"/>
          <w:sz w:val="24"/>
          <w:szCs w:val="24"/>
        </w:rPr>
      </w:pPr>
    </w:p>
    <w:sectPr w:rsidR="00C33B2E"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FE1" w:rsidRDefault="00DC1FE1" w:rsidP="00AD5A85">
      <w:pPr>
        <w:spacing w:after="0" w:line="240" w:lineRule="auto"/>
      </w:pPr>
      <w:r>
        <w:separator/>
      </w:r>
    </w:p>
  </w:endnote>
  <w:endnote w:type="continuationSeparator" w:id="0">
    <w:p w:rsidR="00DC1FE1" w:rsidRDefault="00DC1FE1"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DC1F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DC1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FE1" w:rsidRDefault="00DC1FE1" w:rsidP="00AD5A85">
      <w:pPr>
        <w:spacing w:after="0" w:line="240" w:lineRule="auto"/>
      </w:pPr>
      <w:r>
        <w:separator/>
      </w:r>
    </w:p>
  </w:footnote>
  <w:footnote w:type="continuationSeparator" w:id="0">
    <w:p w:rsidR="00DC1FE1" w:rsidRDefault="00DC1FE1" w:rsidP="00AD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6C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1"/>
  </w:num>
  <w:num w:numId="5">
    <w:abstractNumId w:val="7"/>
  </w:num>
  <w:num w:numId="6">
    <w:abstractNumId w:val="8"/>
  </w:num>
  <w:num w:numId="7">
    <w:abstractNumId w:val="11"/>
  </w:num>
  <w:num w:numId="8">
    <w:abstractNumId w:val="0"/>
  </w:num>
  <w:num w:numId="9">
    <w:abstractNumId w:val="2"/>
  </w:num>
  <w:num w:numId="10">
    <w:abstractNumId w:val="3"/>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EB"/>
    <w:rsid w:val="00075494"/>
    <w:rsid w:val="00093133"/>
    <w:rsid w:val="000A76D4"/>
    <w:rsid w:val="000D3D5B"/>
    <w:rsid w:val="000E1010"/>
    <w:rsid w:val="00101FEB"/>
    <w:rsid w:val="001414A4"/>
    <w:rsid w:val="00171349"/>
    <w:rsid w:val="001F7449"/>
    <w:rsid w:val="00213505"/>
    <w:rsid w:val="00236B33"/>
    <w:rsid w:val="002429D9"/>
    <w:rsid w:val="0027000D"/>
    <w:rsid w:val="0029586E"/>
    <w:rsid w:val="002B0E2D"/>
    <w:rsid w:val="002C2BBC"/>
    <w:rsid w:val="002D2E62"/>
    <w:rsid w:val="00363E3B"/>
    <w:rsid w:val="00396497"/>
    <w:rsid w:val="003F22EB"/>
    <w:rsid w:val="0040310B"/>
    <w:rsid w:val="00413E19"/>
    <w:rsid w:val="00424E37"/>
    <w:rsid w:val="00483D68"/>
    <w:rsid w:val="004F508D"/>
    <w:rsid w:val="00511C20"/>
    <w:rsid w:val="005563D4"/>
    <w:rsid w:val="00563B7C"/>
    <w:rsid w:val="00585845"/>
    <w:rsid w:val="0059235B"/>
    <w:rsid w:val="005F1DD4"/>
    <w:rsid w:val="005F77ED"/>
    <w:rsid w:val="00637BA0"/>
    <w:rsid w:val="0081668B"/>
    <w:rsid w:val="0087572E"/>
    <w:rsid w:val="008A434F"/>
    <w:rsid w:val="008D32DD"/>
    <w:rsid w:val="009067A4"/>
    <w:rsid w:val="00955FDF"/>
    <w:rsid w:val="009F0088"/>
    <w:rsid w:val="00A01A5E"/>
    <w:rsid w:val="00A75C5A"/>
    <w:rsid w:val="00AA1496"/>
    <w:rsid w:val="00AA1801"/>
    <w:rsid w:val="00AD5A85"/>
    <w:rsid w:val="00B00ABB"/>
    <w:rsid w:val="00B427E9"/>
    <w:rsid w:val="00B64950"/>
    <w:rsid w:val="00C33B2E"/>
    <w:rsid w:val="00C63C8D"/>
    <w:rsid w:val="00C700EA"/>
    <w:rsid w:val="00CC5479"/>
    <w:rsid w:val="00CE3CEA"/>
    <w:rsid w:val="00DA7ABB"/>
    <w:rsid w:val="00DC1FE1"/>
    <w:rsid w:val="00E56AB3"/>
    <w:rsid w:val="00E57CF1"/>
    <w:rsid w:val="00E75E1B"/>
    <w:rsid w:val="00E8263B"/>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CD54"/>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1333</Words>
  <Characters>7870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Leopold Skoruša</cp:lastModifiedBy>
  <cp:revision>5</cp:revision>
  <dcterms:created xsi:type="dcterms:W3CDTF">2018-07-21T14:01:00Z</dcterms:created>
  <dcterms:modified xsi:type="dcterms:W3CDTF">2018-07-22T08:39:00Z</dcterms:modified>
</cp:coreProperties>
</file>