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r w:rsidR="007B04AA" w:rsidRPr="007B04AA">
        <w:t>Pravidla pro vedení bojových operací</w:t>
      </w:r>
      <w:r w:rsidR="004B2F6C" w:rsidRPr="004B2F6C">
        <w:t>.</w:t>
      </w:r>
      <w:r w:rsidR="00101FEB" w:rsidRPr="00101FEB">
        <w:t xml:space="preserve"> (2p + 2c)</w:t>
      </w:r>
      <w:r w:rsidR="008A434F" w:rsidRPr="0059235B">
        <w:t>.</w:t>
      </w:r>
    </w:p>
    <w:p w:rsidR="00E9343E" w:rsidRDefault="001414A4" w:rsidP="00D44652">
      <w:r>
        <w:rPr>
          <w:b/>
        </w:rPr>
        <w:t>Cíl:</w:t>
      </w:r>
      <w:r w:rsidR="002B0E2D">
        <w:rPr>
          <w:b/>
        </w:rPr>
        <w:t xml:space="preserve"> </w:t>
      </w:r>
      <w:r w:rsidR="00D44652" w:rsidRPr="00D44652">
        <w:t>Seznámit posluchače s regulační úlohou práva při vedení bojových operací.</w:t>
      </w:r>
      <w:r w:rsidR="00E9343E">
        <w:t xml:space="preserve"> </w:t>
      </w:r>
    </w:p>
    <w:p w:rsidR="001414A4" w:rsidRPr="009F0088" w:rsidRDefault="00D44652" w:rsidP="00D44652">
      <w:pPr>
        <w:rPr>
          <w:b/>
        </w:rPr>
      </w:pPr>
      <w:r w:rsidRPr="00D44652">
        <w:t>Objasnit základní zvláštnosti mezinárodního práva jako souhrnu pravidel regulujících zejména vztahy v kritických situacích ozbrojeného konfliktu.</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p>
    <w:p w:rsidR="003430C3" w:rsidRDefault="009B0EA5" w:rsidP="009B0EA5">
      <w:pPr>
        <w:spacing w:after="0" w:line="240" w:lineRule="auto"/>
      </w:pPr>
      <w:r>
        <w:t>Vyjmenujte a stručně charakterizujte nejzásadnější právní limity použití ozbrojené síly.</w:t>
      </w:r>
    </w:p>
    <w:p w:rsidR="009B0EA5" w:rsidRPr="00B64950" w:rsidRDefault="009B0EA5" w:rsidP="009B0EA5">
      <w:pPr>
        <w:spacing w:after="0" w:line="240" w:lineRule="auto"/>
      </w:pPr>
      <w:r>
        <w:t>Jaká je úloha pravidel nasazení při plánování a realizaci vojenských operaci.</w:t>
      </w:r>
    </w:p>
    <w:p w:rsidR="009B0EA5" w:rsidRDefault="009B0EA5" w:rsidP="0046570A">
      <w:pPr>
        <w:rPr>
          <w:b/>
        </w:rPr>
      </w:pPr>
    </w:p>
    <w:p w:rsidR="005F77ED" w:rsidRPr="00A75C5A" w:rsidRDefault="00FB7D21" w:rsidP="0046570A">
      <w:r w:rsidRPr="00BB1714">
        <w:rPr>
          <w:b/>
        </w:rPr>
        <w:t>Studijní</w:t>
      </w:r>
      <w:r w:rsidR="00955FDF" w:rsidRPr="00BB1714">
        <w:rPr>
          <w:b/>
        </w:rPr>
        <w:t xml:space="preserve"> literatura</w:t>
      </w:r>
      <w:r w:rsidR="00955FDF" w:rsidRPr="00A75C5A">
        <w:t>:</w:t>
      </w:r>
      <w:r w:rsidR="00236B33" w:rsidRPr="00A75C5A">
        <w:t xml:space="preserve"> </w:t>
      </w:r>
    </w:p>
    <w:p w:rsidR="009B0EA5" w:rsidRPr="009B0EA5" w:rsidRDefault="009B0EA5" w:rsidP="009B0EA5">
      <w:pPr>
        <w:spacing w:after="0" w:line="240" w:lineRule="auto"/>
      </w:pPr>
      <w:r w:rsidRPr="009B0EA5">
        <w:t>http://</w:t>
      </w:r>
      <w:proofErr w:type="gramStart"/>
      <w:r w:rsidRPr="009B0EA5">
        <w:t>www</w:t>
      </w:r>
      <w:proofErr w:type="gramEnd"/>
      <w:r w:rsidRPr="009B0EA5">
        <w:t>.</w:t>
      </w:r>
      <w:proofErr w:type="gramStart"/>
      <w:r w:rsidRPr="009B0EA5">
        <w:t>un</w:t>
      </w:r>
      <w:proofErr w:type="gramEnd"/>
      <w:r w:rsidRPr="009B0EA5">
        <w:t>.org/en/documents/charter/</w:t>
      </w:r>
    </w:p>
    <w:p w:rsidR="009B0EA5" w:rsidRPr="009B0EA5" w:rsidRDefault="009B0EA5" w:rsidP="009B0EA5">
      <w:pPr>
        <w:spacing w:after="0" w:line="240" w:lineRule="auto"/>
      </w:pPr>
      <w:r w:rsidRPr="009B0EA5">
        <w:t xml:space="preserve">GSDRC (2013). International </w:t>
      </w:r>
      <w:proofErr w:type="spellStart"/>
      <w:r w:rsidRPr="009B0EA5">
        <w:t>legal</w:t>
      </w:r>
      <w:proofErr w:type="spellEnd"/>
      <w:r w:rsidRPr="009B0EA5">
        <w:t xml:space="preserve"> </w:t>
      </w:r>
      <w:proofErr w:type="spellStart"/>
      <w:r w:rsidRPr="009B0EA5">
        <w:t>frameworks</w:t>
      </w:r>
      <w:proofErr w:type="spellEnd"/>
      <w:r w:rsidRPr="009B0EA5">
        <w:t xml:space="preserve"> </w:t>
      </w:r>
      <w:proofErr w:type="spellStart"/>
      <w:r w:rsidRPr="009B0EA5">
        <w:t>for</w:t>
      </w:r>
      <w:proofErr w:type="spellEnd"/>
      <w:r w:rsidRPr="009B0EA5">
        <w:t xml:space="preserve"> </w:t>
      </w:r>
      <w:proofErr w:type="spellStart"/>
      <w:r w:rsidRPr="009B0EA5">
        <w:t>humanitarian</w:t>
      </w:r>
      <w:proofErr w:type="spellEnd"/>
      <w:r w:rsidRPr="009B0EA5">
        <w:t xml:space="preserve"> </w:t>
      </w:r>
      <w:proofErr w:type="spellStart"/>
      <w:r w:rsidRPr="009B0EA5">
        <w:t>action</w:t>
      </w:r>
      <w:proofErr w:type="spellEnd"/>
      <w:r w:rsidRPr="009B0EA5">
        <w:t xml:space="preserve">: </w:t>
      </w:r>
      <w:proofErr w:type="spellStart"/>
      <w:r w:rsidRPr="009B0EA5">
        <w:t>Topic</w:t>
      </w:r>
      <w:proofErr w:type="spellEnd"/>
      <w:r w:rsidRPr="009B0EA5">
        <w:t xml:space="preserve"> </w:t>
      </w:r>
      <w:proofErr w:type="spellStart"/>
      <w:r w:rsidRPr="009B0EA5">
        <w:t>guide</w:t>
      </w:r>
      <w:proofErr w:type="spellEnd"/>
      <w:r w:rsidRPr="009B0EA5">
        <w:t xml:space="preserve">. Birmingham, UK: GSDRC, University </w:t>
      </w:r>
      <w:proofErr w:type="spellStart"/>
      <w:r w:rsidRPr="009B0EA5">
        <w:t>of</w:t>
      </w:r>
      <w:proofErr w:type="spellEnd"/>
      <w:r w:rsidRPr="009B0EA5">
        <w:t xml:space="preserve"> Birmingham http://www.gsdrc.org/go/topic-guides/ilfha</w:t>
      </w:r>
    </w:p>
    <w:p w:rsidR="009B0EA5" w:rsidRPr="009B0EA5" w:rsidRDefault="009B0EA5" w:rsidP="009B0EA5">
      <w:pPr>
        <w:spacing w:after="0" w:line="240" w:lineRule="auto"/>
      </w:pPr>
      <w:proofErr w:type="spellStart"/>
      <w:r w:rsidRPr="009B0EA5">
        <w:t>Jump</w:t>
      </w:r>
      <w:proofErr w:type="spellEnd"/>
      <w:r w:rsidRPr="009B0EA5">
        <w:t xml:space="preserve"> up ICRC </w:t>
      </w:r>
      <w:proofErr w:type="spellStart"/>
      <w:r w:rsidRPr="009B0EA5">
        <w:t>What</w:t>
      </w:r>
      <w:proofErr w:type="spellEnd"/>
      <w:r w:rsidRPr="009B0EA5">
        <w:t xml:space="preserve"> </w:t>
      </w:r>
      <w:proofErr w:type="spellStart"/>
      <w:r w:rsidRPr="009B0EA5">
        <w:t>is</w:t>
      </w:r>
      <w:proofErr w:type="spellEnd"/>
      <w:r w:rsidRPr="009B0EA5">
        <w:t xml:space="preserve"> </w:t>
      </w:r>
      <w:proofErr w:type="spellStart"/>
      <w:r w:rsidRPr="009B0EA5">
        <w:t>international</w:t>
      </w:r>
      <w:proofErr w:type="spellEnd"/>
      <w:r w:rsidRPr="009B0EA5">
        <w:t xml:space="preserve"> </w:t>
      </w:r>
      <w:proofErr w:type="spellStart"/>
      <w:r w:rsidRPr="009B0EA5">
        <w:t>humanitarian</w:t>
      </w:r>
      <w:proofErr w:type="spellEnd"/>
      <w:r w:rsidRPr="009B0EA5">
        <w:t xml:space="preserve"> </w:t>
      </w:r>
      <w:proofErr w:type="spellStart"/>
      <w:r w:rsidRPr="009B0EA5">
        <w:t>law</w:t>
      </w:r>
      <w:proofErr w:type="spellEnd"/>
    </w:p>
    <w:p w:rsidR="009B0EA5" w:rsidRPr="009B0EA5" w:rsidRDefault="009B0EA5" w:rsidP="009B0EA5">
      <w:pPr>
        <w:spacing w:after="0" w:line="240" w:lineRule="auto"/>
      </w:pPr>
      <w:r w:rsidRPr="009B0EA5">
        <w:t>https://casebook.icrc.org/glossary/geneva-conventions</w:t>
      </w:r>
    </w:p>
    <w:p w:rsidR="009B0EA5" w:rsidRPr="009B0EA5" w:rsidRDefault="009B0EA5" w:rsidP="009B0EA5">
      <w:pPr>
        <w:spacing w:after="0" w:line="240" w:lineRule="auto"/>
      </w:pPr>
      <w:r w:rsidRPr="009B0EA5">
        <w:t>https://www.youtube.com/watch?v=x0H16tr0cuk</w:t>
      </w:r>
    </w:p>
    <w:p w:rsidR="009B0EA5" w:rsidRPr="009B0EA5" w:rsidRDefault="009B0EA5" w:rsidP="009B0EA5">
      <w:pPr>
        <w:spacing w:after="0" w:line="240" w:lineRule="auto"/>
      </w:pPr>
      <w:r w:rsidRPr="009B0EA5">
        <w:t>https://www.nationalreview.com/2015/12/rules-engagement-need-reform/</w:t>
      </w:r>
    </w:p>
    <w:p w:rsidR="00C913FD" w:rsidRDefault="009B0EA5" w:rsidP="009B0EA5">
      <w:pPr>
        <w:spacing w:after="0" w:line="240" w:lineRule="auto"/>
      </w:pPr>
      <w:r w:rsidRPr="009B0EA5">
        <w:t>https://www.youtube.com/watch?v=xHEi95PD4I4</w:t>
      </w:r>
    </w:p>
    <w:p w:rsidR="005F77ED" w:rsidRPr="00C913FD" w:rsidRDefault="00637BA0" w:rsidP="00C913FD">
      <w:pPr>
        <w:rPr>
          <w:b/>
        </w:rPr>
      </w:pPr>
      <w:r w:rsidRPr="00C913FD">
        <w:rPr>
          <w:b/>
        </w:rPr>
        <w:t>Obsah:</w:t>
      </w:r>
      <w:r w:rsidR="005F77ED" w:rsidRPr="00C913FD">
        <w:rPr>
          <w:b/>
        </w:rPr>
        <w:t xml:space="preserve"> </w:t>
      </w:r>
    </w:p>
    <w:p w:rsidR="005F77ED" w:rsidRPr="00A75C5A" w:rsidRDefault="005F77ED" w:rsidP="001318BA">
      <w:pPr>
        <w:spacing w:after="0" w:line="240" w:lineRule="auto"/>
      </w:pPr>
      <w:r w:rsidRPr="00A75C5A">
        <w:t>Úvod</w:t>
      </w:r>
    </w:p>
    <w:p w:rsidR="00000000" w:rsidRPr="001318BA" w:rsidRDefault="00884D5E" w:rsidP="00AA515A">
      <w:pPr>
        <w:numPr>
          <w:ilvl w:val="0"/>
          <w:numId w:val="17"/>
        </w:numPr>
        <w:spacing w:after="0" w:line="240" w:lineRule="auto"/>
      </w:pPr>
      <w:r w:rsidRPr="001318BA">
        <w:t>Zásady a limity použití síly</w:t>
      </w:r>
      <w:r w:rsidR="00F42D76">
        <w:t xml:space="preserve">. </w:t>
      </w:r>
      <w:r w:rsidRPr="001318BA">
        <w:t>Oprávn</w:t>
      </w:r>
      <w:r w:rsidRPr="001318BA">
        <w:t>ění (důvody) pro použití síly proti jinému státu</w:t>
      </w:r>
    </w:p>
    <w:p w:rsidR="00000000" w:rsidRPr="001318BA" w:rsidRDefault="00884D5E" w:rsidP="001318BA">
      <w:pPr>
        <w:numPr>
          <w:ilvl w:val="0"/>
          <w:numId w:val="17"/>
        </w:numPr>
        <w:spacing w:after="0" w:line="240" w:lineRule="auto"/>
      </w:pPr>
      <w:r w:rsidRPr="001318BA">
        <w:t>Sebeobrana</w:t>
      </w:r>
    </w:p>
    <w:p w:rsidR="00000000" w:rsidRPr="001318BA" w:rsidRDefault="00884D5E" w:rsidP="001318BA">
      <w:pPr>
        <w:numPr>
          <w:ilvl w:val="0"/>
          <w:numId w:val="17"/>
        </w:numPr>
        <w:spacing w:after="0" w:line="240" w:lineRule="auto"/>
      </w:pPr>
      <w:r w:rsidRPr="001318BA">
        <w:t xml:space="preserve">Pravidla nasazení - </w:t>
      </w:r>
      <w:proofErr w:type="spellStart"/>
      <w:r w:rsidRPr="001318BA">
        <w:t>Rules</w:t>
      </w:r>
      <w:proofErr w:type="spellEnd"/>
      <w:r w:rsidRPr="001318BA">
        <w:t xml:space="preserve"> </w:t>
      </w:r>
      <w:proofErr w:type="spellStart"/>
      <w:r w:rsidRPr="001318BA">
        <w:t>of</w:t>
      </w:r>
      <w:proofErr w:type="spellEnd"/>
      <w:r w:rsidRPr="001318BA">
        <w:t xml:space="preserve"> </w:t>
      </w:r>
      <w:proofErr w:type="spellStart"/>
      <w:r w:rsidRPr="001318BA">
        <w:t>Engagement</w:t>
      </w:r>
      <w:proofErr w:type="spellEnd"/>
      <w:r w:rsidRPr="001318BA">
        <w:t xml:space="preserve"> (ROE)</w:t>
      </w:r>
    </w:p>
    <w:p w:rsidR="001414A4" w:rsidRPr="00A75C5A" w:rsidRDefault="001318BA" w:rsidP="001318BA">
      <w:pPr>
        <w:spacing w:after="0" w:line="240" w:lineRule="auto"/>
      </w:pPr>
      <w:r w:rsidRPr="001318BA">
        <w:t xml:space="preserve"> </w:t>
      </w:r>
      <w:r w:rsidR="005F77ED" w:rsidRPr="00A75C5A">
        <w:t>Závěr</w:t>
      </w:r>
    </w:p>
    <w:p w:rsidR="001318BA" w:rsidRDefault="001318BA" w:rsidP="001318BA">
      <w:pPr>
        <w:spacing w:after="0" w:line="240" w:lineRule="auto"/>
        <w:ind w:left="66"/>
      </w:pPr>
    </w:p>
    <w:p w:rsidR="001318BA" w:rsidRDefault="001318BA" w:rsidP="001318BA">
      <w:pPr>
        <w:spacing w:after="0" w:line="240" w:lineRule="auto"/>
        <w:ind w:left="66"/>
      </w:pPr>
    </w:p>
    <w:p w:rsidR="001318BA" w:rsidRDefault="001318BA" w:rsidP="00B10B6B">
      <w:pPr>
        <w:numPr>
          <w:ilvl w:val="0"/>
          <w:numId w:val="8"/>
        </w:numPr>
        <w:spacing w:after="0" w:line="240" w:lineRule="auto"/>
        <w:ind w:left="426"/>
      </w:pPr>
      <w:r w:rsidRPr="001318BA">
        <w:t>Zásady a limity použití síly</w:t>
      </w:r>
    </w:p>
    <w:p w:rsidR="00E020C7" w:rsidRDefault="00E020C7" w:rsidP="001318BA">
      <w:pPr>
        <w:spacing w:after="0" w:line="240" w:lineRule="auto"/>
        <w:ind w:left="66"/>
      </w:pPr>
    </w:p>
    <w:p w:rsidR="009E08C6" w:rsidRDefault="004B7890" w:rsidP="009E08C6">
      <w:pPr>
        <w:spacing w:after="120" w:line="240" w:lineRule="auto"/>
        <w:ind w:left="68"/>
      </w:pPr>
      <w:r w:rsidRPr="004B7890">
        <w:t xml:space="preserve">Právo je nedokonalé ve vztahu k </w:t>
      </w:r>
      <w:r w:rsidR="00E020C7" w:rsidRPr="004B7890">
        <w:t>externímu</w:t>
      </w:r>
      <w:r w:rsidRPr="004B7890">
        <w:t xml:space="preserve"> prostředí, neboť mezinárodní vztahy nelze analyzovat pouze z pozice práva. Pokud bychom považovali právo za všeobecně uznávané normy chování, které na mezinárodní úrovni mají vysokou úroveň abstrakce, je možné dosáhnout situace, kdy je možné nalézt několik možných právních výkladů jedné otázky často s různými konsekvencemi. Princip svrchované rovnosti a decentralizace tento fakt ještě umocňují.</w:t>
      </w:r>
      <w:r w:rsidR="00E020C7">
        <w:t xml:space="preserve"> </w:t>
      </w:r>
      <w:r w:rsidR="00E020C7" w:rsidRPr="00E020C7">
        <w:t xml:space="preserve">Bez pochopení mechanismů ukrytých pod slupkou mezinárodních vztahů je </w:t>
      </w:r>
      <w:r w:rsidR="009E08C6">
        <w:t>vojá</w:t>
      </w:r>
      <w:r w:rsidR="00E020C7" w:rsidRPr="00E020C7">
        <w:t>k pouze nezúčastněným pozorovatelem.</w:t>
      </w:r>
    </w:p>
    <w:p w:rsidR="00E020C7" w:rsidRDefault="00E020C7" w:rsidP="009E08C6">
      <w:pPr>
        <w:spacing w:after="120" w:line="240" w:lineRule="auto"/>
        <w:ind w:left="68"/>
        <w:rPr>
          <w:b/>
        </w:rPr>
      </w:pPr>
      <w:r w:rsidRPr="00E020C7">
        <w:t xml:space="preserve">Před </w:t>
      </w:r>
      <w:r>
        <w:t>stanovením limit</w:t>
      </w:r>
      <w:r w:rsidRPr="00E020C7">
        <w:t xml:space="preserve"> použití síly z hlediska mezinárodního společenství, je třeba krátce analyzovat povahu Charty OSN (Charta). Charta jako ustavující dokument obsahuje řadu specifických úkolů, jimž je tato organizace nadána. Mezi ty nejdůležitější patří </w:t>
      </w:r>
      <w:r w:rsidRPr="00E020C7">
        <w:rPr>
          <w:b/>
        </w:rPr>
        <w:t>udržení mezinárodního míru a bezpečnosti</w:t>
      </w:r>
      <w:r w:rsidRPr="00E020C7">
        <w:t xml:space="preserve">. </w:t>
      </w:r>
      <w:r>
        <w:t>Charta</w:t>
      </w:r>
      <w:r w:rsidRPr="00E020C7">
        <w:t xml:space="preserve"> není pouze dokumentem zakládajícím organizaci</w:t>
      </w:r>
      <w:r>
        <w:t xml:space="preserve">, </w:t>
      </w:r>
      <w:r w:rsidRPr="00E020C7">
        <w:t xml:space="preserve">je taktéž právotvorným dokumentem. Poněvadž krom </w:t>
      </w:r>
      <w:r>
        <w:t>jiného</w:t>
      </w:r>
      <w:r w:rsidRPr="00E020C7">
        <w:t xml:space="preserve"> se</w:t>
      </w:r>
      <w:r>
        <w:t xml:space="preserve"> zde</w:t>
      </w:r>
      <w:r w:rsidRPr="00E020C7">
        <w:t xml:space="preserve"> jedná především </w:t>
      </w:r>
      <w:r w:rsidRPr="00E020C7">
        <w:rPr>
          <w:b/>
        </w:rPr>
        <w:t>o smlouvu</w:t>
      </w:r>
      <w:r w:rsidRPr="00E020C7">
        <w:t xml:space="preserve"> mezi státy. Normy obsažené v této smlouvě jsou obecně považovány za </w:t>
      </w:r>
      <w:r w:rsidRPr="00E020C7">
        <w:rPr>
          <w:b/>
        </w:rPr>
        <w:t>pravidla mezinárodního práva</w:t>
      </w:r>
      <w:r w:rsidRPr="00E020C7">
        <w:t xml:space="preserve"> jak z hlediska práva </w:t>
      </w:r>
      <w:r w:rsidRPr="00E020C7">
        <w:rPr>
          <w:b/>
        </w:rPr>
        <w:t>smluvního</w:t>
      </w:r>
      <w:r w:rsidRPr="00E020C7">
        <w:t xml:space="preserve">, tak práva </w:t>
      </w:r>
      <w:r w:rsidRPr="00E020C7">
        <w:rPr>
          <w:b/>
        </w:rPr>
        <w:t>zvykového</w:t>
      </w:r>
      <w:r>
        <w:rPr>
          <w:b/>
        </w:rPr>
        <w:t>.</w:t>
      </w:r>
    </w:p>
    <w:p w:rsidR="00E020C7" w:rsidRDefault="00E020C7" w:rsidP="00E020C7">
      <w:pPr>
        <w:spacing w:after="120" w:line="240" w:lineRule="auto"/>
        <w:ind w:left="68"/>
      </w:pPr>
      <w:r w:rsidRPr="00E020C7">
        <w:lastRenderedPageBreak/>
        <w:t xml:space="preserve">Z hlediska </w:t>
      </w:r>
      <w:r w:rsidRPr="00E020C7">
        <w:rPr>
          <w:b/>
        </w:rPr>
        <w:t>použití síly</w:t>
      </w:r>
      <w:r w:rsidRPr="00E020C7">
        <w:t xml:space="preserve"> Charta zdokonalila režim nastavený v rámci </w:t>
      </w:r>
      <w:proofErr w:type="spellStart"/>
      <w:r w:rsidRPr="00E020C7">
        <w:t>Briand</w:t>
      </w:r>
      <w:r>
        <w:t>-</w:t>
      </w:r>
      <w:r w:rsidRPr="00E020C7">
        <w:t>Kellogova</w:t>
      </w:r>
      <w:proofErr w:type="spellEnd"/>
      <w:r w:rsidRPr="00E020C7">
        <w:t xml:space="preserve"> paktu</w:t>
      </w:r>
      <w:r>
        <w:t xml:space="preserve"> (Smlouva o zákazu útočné války)</w:t>
      </w:r>
      <w:r w:rsidRPr="00E020C7">
        <w:t xml:space="preserve"> a vytvořila tak svébytný právní</w:t>
      </w:r>
      <w:r w:rsidR="0087331B">
        <w:t xml:space="preserve"> režim limitující užití síly. Z </w:t>
      </w:r>
      <w:r w:rsidRPr="00E020C7">
        <w:t xml:space="preserve">hlediska užití síly je taktéž důležité upozornit na fakt, že normy zakazující užití síly, explicitně pak čl. 2(4) Charty, mají povahu zvykového práva, jež dosáhlo úrovně ius </w:t>
      </w:r>
      <w:proofErr w:type="spellStart"/>
      <w:r w:rsidRPr="00E020C7">
        <w:t>cogens</w:t>
      </w:r>
      <w:proofErr w:type="spellEnd"/>
      <w:r w:rsidR="0087331B">
        <w:t>.</w:t>
      </w:r>
    </w:p>
    <w:p w:rsidR="0087331B" w:rsidRDefault="0087331B" w:rsidP="00E020C7">
      <w:pPr>
        <w:spacing w:after="120" w:line="240" w:lineRule="auto"/>
        <w:ind w:left="68"/>
      </w:pPr>
      <w:r w:rsidRPr="0087331B">
        <w:t xml:space="preserve">Základním </w:t>
      </w:r>
      <w:r>
        <w:t>pramenem</w:t>
      </w:r>
      <w:r w:rsidRPr="0087331B">
        <w:t xml:space="preserve"> týkající</w:t>
      </w:r>
      <w:r>
        <w:t>m</w:t>
      </w:r>
      <w:r w:rsidRPr="0087331B">
        <w:t xml:space="preserve"> se použití síly je model zvolený Chartou OSN. </w:t>
      </w:r>
      <w:r>
        <w:t>Charta</w:t>
      </w:r>
      <w:r w:rsidRPr="0087331B">
        <w:t xml:space="preserve"> v čl. 2(4) definuje obecný zákaz hrozby silou či užití síly: „</w:t>
      </w:r>
      <w:r w:rsidRPr="0087331B">
        <w:rPr>
          <w:i/>
        </w:rPr>
        <w:t>Všichni členové se zdrží ve svých mezinárodních vztazích hrozby silou či užití síly ať již vůči územní celistvosti nebo politické nezávislosti kterékoliv státu, nebo jakýmkoliv jiným způsobem neslučitelným s cíli Spojených národů.</w:t>
      </w:r>
      <w:r w:rsidRPr="0087331B">
        <w:t xml:space="preserve">“ Charta poskytuje výslovně pouze dvě výjimky ze zákazu užití síly v mezinárodních vztazích dle čl. 2(4). </w:t>
      </w:r>
    </w:p>
    <w:p w:rsidR="0087331B" w:rsidRDefault="0087331B" w:rsidP="00E020C7">
      <w:pPr>
        <w:spacing w:after="120" w:line="240" w:lineRule="auto"/>
        <w:ind w:left="68"/>
      </w:pPr>
      <w:r w:rsidRPr="0087331B">
        <w:t xml:space="preserve">První je výjimka udělená v případě </w:t>
      </w:r>
      <w:r w:rsidRPr="0087331B">
        <w:rPr>
          <w:b/>
        </w:rPr>
        <w:t>výkonu práva individuální či kolektivní sebeobrany</w:t>
      </w:r>
      <w:r w:rsidRPr="0087331B">
        <w:t xml:space="preserve"> v případě ozbrojeného útoku proti státu</w:t>
      </w:r>
      <w:r>
        <w:t>.</w:t>
      </w:r>
      <w:r w:rsidRPr="0087331B">
        <w:t xml:space="preserve"> </w:t>
      </w:r>
      <w:r>
        <w:t>Druhou výjimkou</w:t>
      </w:r>
      <w:r w:rsidRPr="0087331B">
        <w:t xml:space="preserve"> je pak </w:t>
      </w:r>
      <w:r w:rsidRPr="0087331B">
        <w:rPr>
          <w:b/>
        </w:rPr>
        <w:t>pověření Radou Bezpečnosti</w:t>
      </w:r>
      <w:r w:rsidRPr="0087331B">
        <w:t xml:space="preserve"> (RB) </w:t>
      </w:r>
      <w:r w:rsidRPr="0087331B">
        <w:rPr>
          <w:b/>
        </w:rPr>
        <w:t>k užití síly</w:t>
      </w:r>
      <w:r w:rsidRPr="0087331B">
        <w:t xml:space="preserve"> v případě ohrožení nebo porušení míru nebo útočného činu.</w:t>
      </w:r>
    </w:p>
    <w:p w:rsidR="0087331B" w:rsidRPr="0087331B" w:rsidRDefault="0087331B" w:rsidP="0087331B">
      <w:pPr>
        <w:spacing w:after="120" w:line="240" w:lineRule="auto"/>
        <w:ind w:left="68"/>
      </w:pPr>
      <w:r w:rsidRPr="0087331B">
        <w:t>Od článku</w:t>
      </w:r>
      <w:r w:rsidRPr="0087331B">
        <w:t xml:space="preserve"> 2(4) Charty</w:t>
      </w:r>
      <w:r w:rsidRPr="0087331B">
        <w:t xml:space="preserve"> je pak odvozován systém kolektivní bezpečnosti rozvedený v Kapitole sedmé Charty, zabývající se kolektivní bezpečností. Tato kapitola se zabývá dvěma aspekty kolektivního použití síly: autorizací použití síly RB a mechanismem pro ukládání kolektivních sankcí.</w:t>
      </w:r>
    </w:p>
    <w:p w:rsidR="001318BA" w:rsidRDefault="001318BA" w:rsidP="001318BA">
      <w:pPr>
        <w:spacing w:after="0" w:line="240" w:lineRule="auto"/>
        <w:ind w:left="66"/>
      </w:pPr>
    </w:p>
    <w:p w:rsidR="001318BA" w:rsidRDefault="001318BA" w:rsidP="0059623F">
      <w:pPr>
        <w:numPr>
          <w:ilvl w:val="0"/>
          <w:numId w:val="8"/>
        </w:numPr>
        <w:spacing w:after="0" w:line="240" w:lineRule="auto"/>
        <w:ind w:left="426"/>
      </w:pPr>
      <w:r w:rsidRPr="001318BA">
        <w:t>Sebeobrana</w:t>
      </w:r>
    </w:p>
    <w:p w:rsidR="00F42D76" w:rsidRDefault="00F42D76" w:rsidP="00F42D76">
      <w:pPr>
        <w:spacing w:after="0" w:line="240" w:lineRule="auto"/>
        <w:ind w:left="66"/>
      </w:pPr>
    </w:p>
    <w:p w:rsidR="001318BA" w:rsidRDefault="00F42D76" w:rsidP="00F42D76">
      <w:pPr>
        <w:spacing w:after="120" w:line="240" w:lineRule="auto"/>
      </w:pPr>
      <w:r w:rsidRPr="008E11B4">
        <w:rPr>
          <w:b/>
        </w:rPr>
        <w:t>Právo na sebeobranu</w:t>
      </w:r>
      <w:r w:rsidRPr="00F42D76">
        <w:t xml:space="preserve"> můžeme chápat jako legitimní ochranu proti různým formám porušení práv a zájmů států. Jedná se o defenzivní použití síly státem v odpověď na ozbrojený útok jiného státu. Sebeobrana je pravidlem obecného mezinárodního práva, našla však místo i v Chartě Organizace spojených národů v článku 51.</w:t>
      </w:r>
      <w:r>
        <w:t xml:space="preserve"> </w:t>
      </w:r>
    </w:p>
    <w:p w:rsidR="00F42D76" w:rsidRDefault="00F42D76" w:rsidP="00F42D76">
      <w:pPr>
        <w:spacing w:after="120" w:line="240" w:lineRule="auto"/>
      </w:pPr>
      <w:r w:rsidRPr="00F42D76">
        <w:t>S</w:t>
      </w:r>
      <w:r>
        <w:t xml:space="preserve"> </w:t>
      </w:r>
      <w:r w:rsidRPr="00F42D76">
        <w:t xml:space="preserve">právním zakotvením sebeobrany se setkáváme ve 2. polovině 19. století, kdy byly definovány právní podmínky </w:t>
      </w:r>
      <w:r>
        <w:t>ná</w:t>
      </w:r>
      <w:r w:rsidRPr="00F42D76">
        <w:t xml:space="preserve">roku na obranu vlastních příslušníků na území jiného státu, jestliže tuto obranu nebyl teritoriální stát ochoten nebo schopen sám poskytnout. Jedná se o často citovaný případ </w:t>
      </w:r>
      <w:proofErr w:type="spellStart"/>
      <w:r w:rsidRPr="00F42D76">
        <w:t>Caroline</w:t>
      </w:r>
      <w:proofErr w:type="spellEnd"/>
      <w:r w:rsidRPr="00F42D76">
        <w:t>: USA v. Velká Británie z roku 1837, který mezinárodní právo obohatil o tzv. formuli vymezující p</w:t>
      </w:r>
      <w:r>
        <w:t>odmínky sebeobrany, včetně toho</w:t>
      </w:r>
      <w:r w:rsidRPr="00F42D76">
        <w:t>, co dnes nazýváme preemptivní sebeobran</w:t>
      </w:r>
      <w:r>
        <w:t>ou</w:t>
      </w:r>
      <w:r w:rsidRPr="00F42D76">
        <w:t>.</w:t>
      </w:r>
    </w:p>
    <w:p w:rsidR="00F42D76" w:rsidRDefault="00F42D76" w:rsidP="00F42D76">
      <w:pPr>
        <w:spacing w:after="120" w:line="240" w:lineRule="auto"/>
        <w:rPr>
          <w:b/>
        </w:rPr>
      </w:pPr>
      <w:r w:rsidRPr="00F42D76">
        <w:t xml:space="preserve">Počátkem 20. let 20. století se </w:t>
      </w:r>
      <w:r>
        <w:t>volnost</w:t>
      </w:r>
      <w:r w:rsidRPr="00F42D76">
        <w:t xml:space="preserve"> uchylování se k válce stávala stále více omezenou a právo sebeobrany tak nabývalo na významu. Tento vývoj završilo před 2. světovou válkou přijetí </w:t>
      </w:r>
      <w:proofErr w:type="spellStart"/>
      <w:r w:rsidRPr="00F42D76">
        <w:t>Briand</w:t>
      </w:r>
      <w:proofErr w:type="spellEnd"/>
      <w:r w:rsidRPr="00F42D76">
        <w:t xml:space="preserve"> - </w:t>
      </w:r>
      <w:proofErr w:type="spellStart"/>
      <w:r w:rsidRPr="00F42D76">
        <w:t>Kelloggova</w:t>
      </w:r>
      <w:proofErr w:type="spellEnd"/>
      <w:r w:rsidRPr="00F42D76">
        <w:t xml:space="preserve"> paktu. </w:t>
      </w:r>
      <w:r w:rsidR="008E11B4">
        <w:t>P</w:t>
      </w:r>
      <w:r w:rsidRPr="00F42D76">
        <w:t xml:space="preserve">akt, zvaný </w:t>
      </w:r>
      <w:r w:rsidR="008E11B4" w:rsidRPr="00F42D76">
        <w:t>též</w:t>
      </w:r>
      <w:r w:rsidRPr="00F42D76">
        <w:t xml:space="preserve"> </w:t>
      </w:r>
      <w:r w:rsidR="008E11B4" w:rsidRPr="00F42D76">
        <w:t>Pařížský</w:t>
      </w:r>
      <w:r w:rsidRPr="00F42D76">
        <w:t xml:space="preserve"> pakt, byl přijat 27. srpna 1928 patnácti státy včetně tehdejší Československé republik vstoupil </w:t>
      </w:r>
      <w:r w:rsidR="008E11B4">
        <w:t xml:space="preserve">v platnost </w:t>
      </w:r>
      <w:r w:rsidRPr="00F42D76">
        <w:t xml:space="preserve">24. dubna 1929. Jedná se o mezinárodně právní dokument, který poprvé zakázal válku jako prostředek mezinárodní politiky, a to i kdyby </w:t>
      </w:r>
      <w:r w:rsidR="008E11B4" w:rsidRPr="00F42D76">
        <w:t>sloužila</w:t>
      </w:r>
      <w:r w:rsidRPr="00F42D76">
        <w:t xml:space="preserve"> k vynucování práva. </w:t>
      </w:r>
      <w:r w:rsidRPr="008E11B4">
        <w:rPr>
          <w:b/>
        </w:rPr>
        <w:t>Sebeobrana se tak stala v pravém slova smyslu právem.</w:t>
      </w:r>
    </w:p>
    <w:p w:rsidR="008E11B4" w:rsidRDefault="008E11B4" w:rsidP="008E11B4">
      <w:r w:rsidRPr="008E11B4">
        <w:t xml:space="preserve">Přijetím Charty OSN v roce 1945 došlo k právnímu zakotvení institutu sebeobrany. Charta OSN tak navázala </w:t>
      </w:r>
      <w:proofErr w:type="gramStart"/>
      <w:r w:rsidRPr="008E11B4">
        <w:t xml:space="preserve">na </w:t>
      </w:r>
      <w:proofErr w:type="spellStart"/>
      <w:r w:rsidRPr="008E11B4">
        <w:t>Briand</w:t>
      </w:r>
      <w:proofErr w:type="spellEnd"/>
      <w:proofErr w:type="gramEnd"/>
      <w:r w:rsidRPr="008E11B4">
        <w:t xml:space="preserve"> - </w:t>
      </w:r>
      <w:proofErr w:type="spellStart"/>
      <w:r w:rsidRPr="008E11B4">
        <w:t>Kelloggův</w:t>
      </w:r>
      <w:proofErr w:type="spellEnd"/>
      <w:r w:rsidRPr="008E11B4">
        <w:t xml:space="preserve"> pakt a zakotvila ve svém článku 2 odst. 4 kogentní zákaz použití síly, na který navazuje článek 51 obsahující právo na sebeobranu.</w:t>
      </w:r>
    </w:p>
    <w:p w:rsidR="008E11B4" w:rsidRDefault="008E11B4" w:rsidP="008E11B4">
      <w:r w:rsidRPr="008E11B4">
        <w:t xml:space="preserve">Zásada zákazu hrozby silou a použití síly v mezinárodních vztazích je obsažena i v </w:t>
      </w:r>
      <w:r w:rsidRPr="008E11B4">
        <w:rPr>
          <w:b/>
        </w:rPr>
        <w:t>Deklaraci zásad mezinárodního práva</w:t>
      </w:r>
      <w:r w:rsidRPr="008E11B4">
        <w:t xml:space="preserve"> týkajících se přátelských vztahů a spolupráce mezi státy v souladu s Chartou OSN, jejíž text přijalo Valné shromáždění OSN v roce 1970 a která je jako akt mezinárodní organizace pouze nezávazným výkladem.</w:t>
      </w:r>
    </w:p>
    <w:p w:rsidR="008E11B4" w:rsidRDefault="008E11B4" w:rsidP="008E11B4">
      <w:r w:rsidRPr="008E11B4">
        <w:lastRenderedPageBreak/>
        <w:t xml:space="preserve">Deklarace uvádí, </w:t>
      </w:r>
      <w:r>
        <w:t>ž</w:t>
      </w:r>
      <w:r w:rsidRPr="008E11B4">
        <w:t>e území státu nesmí být předmětem vojenské okupace na základě použití</w:t>
      </w:r>
      <w:r>
        <w:t xml:space="preserve"> s</w:t>
      </w:r>
      <w:r w:rsidRPr="008E11B4">
        <w:t xml:space="preserve">íly v rozporu s ustanoveními Charty OSN, dále </w:t>
      </w:r>
      <w:r>
        <w:t>ž</w:t>
      </w:r>
      <w:r w:rsidRPr="008E11B4">
        <w:t xml:space="preserve">e území státu nesmí napadnout jiný stát v důsledku hrozby silou nebo použití síly a v neposlední řadě, </w:t>
      </w:r>
      <w:r>
        <w:t>ž</w:t>
      </w:r>
      <w:r w:rsidRPr="008E11B4">
        <w:t>e nebude uznán žádný územní zisk získaný v důsledku hrozby silou nebo použití síly</w:t>
      </w:r>
      <w:r>
        <w:t>.</w:t>
      </w:r>
    </w:p>
    <w:p w:rsidR="008E11B4" w:rsidRDefault="008E11B4" w:rsidP="008E11B4">
      <w:r>
        <w:t xml:space="preserve">Aby se jednalo o legitimní obranu, musí tato splňovat určité podmínky, </w:t>
      </w:r>
      <w:r>
        <w:t>přičemž</w:t>
      </w:r>
      <w:r>
        <w:t xml:space="preserve"> jejich</w:t>
      </w:r>
      <w:r>
        <w:t xml:space="preserve"> </w:t>
      </w:r>
      <w:r>
        <w:t>splnění podléhá následné kontrole. Hovoříme o tzv. limitech sebeobrany.</w:t>
      </w:r>
    </w:p>
    <w:p w:rsidR="008E11B4" w:rsidRDefault="008E11B4" w:rsidP="008E11B4">
      <w:bookmarkStart w:id="1" w:name="_GoBack"/>
      <w:bookmarkEnd w:id="1"/>
      <w:r>
        <w:t>Limity sebeobrany:</w:t>
      </w:r>
    </w:p>
    <w:p w:rsidR="008E11B4" w:rsidRDefault="008E11B4" w:rsidP="008E11B4">
      <w:pPr>
        <w:pStyle w:val="Odstavecseseznamem"/>
        <w:numPr>
          <w:ilvl w:val="0"/>
          <w:numId w:val="19"/>
        </w:numPr>
      </w:pPr>
      <w:r>
        <w:t xml:space="preserve">sebeobrana se připouští jako reakce na aktuální (tj. přítomný, </w:t>
      </w:r>
      <w:r>
        <w:t>jít</w:t>
      </w:r>
      <w:r>
        <w:t xml:space="preserve"> uskutečněný)</w:t>
      </w:r>
      <w:r>
        <w:t xml:space="preserve"> </w:t>
      </w:r>
      <w:r>
        <w:t>ozbrojený útok;</w:t>
      </w:r>
    </w:p>
    <w:p w:rsidR="008E11B4" w:rsidRDefault="008E11B4" w:rsidP="008E11B4">
      <w:pPr>
        <w:pStyle w:val="Odstavecseseznamem"/>
        <w:numPr>
          <w:ilvl w:val="0"/>
          <w:numId w:val="19"/>
        </w:numPr>
      </w:pPr>
      <w:r>
        <w:t>sebeobrana je zásadně právem defenzivní povahy;</w:t>
      </w:r>
    </w:p>
    <w:p w:rsidR="008E11B4" w:rsidRDefault="008E11B4" w:rsidP="008E11B4">
      <w:pPr>
        <w:pStyle w:val="Odstavecseseznamem"/>
        <w:numPr>
          <w:ilvl w:val="0"/>
          <w:numId w:val="19"/>
        </w:numPr>
      </w:pPr>
      <w:r>
        <w:t xml:space="preserve">jakmile je </w:t>
      </w:r>
      <w:r>
        <w:t>dosaženo</w:t>
      </w:r>
      <w:r>
        <w:t xml:space="preserve"> cílů sebeobrany, je nezbytné ukončit sebeobranná opatření;</w:t>
      </w:r>
    </w:p>
    <w:p w:rsidR="008E11B4" w:rsidRPr="008E11B4" w:rsidRDefault="008E11B4" w:rsidP="008E11B4">
      <w:pPr>
        <w:pStyle w:val="Odstavecseseznamem"/>
        <w:numPr>
          <w:ilvl w:val="0"/>
          <w:numId w:val="19"/>
        </w:numPr>
      </w:pPr>
      <w:r>
        <w:t xml:space="preserve">povinnost </w:t>
      </w:r>
      <w:r>
        <w:t>okamžitého</w:t>
      </w:r>
      <w:r>
        <w:t xml:space="preserve"> oznámení sebeobranných opatření Radě Bezpečnosti a po</w:t>
      </w:r>
      <w:r>
        <w:t xml:space="preserve"> </w:t>
      </w:r>
      <w:r>
        <w:t xml:space="preserve">učinění opatření Radou bezpečnosti k </w:t>
      </w:r>
      <w:r>
        <w:t>udržení</w:t>
      </w:r>
      <w:r>
        <w:t xml:space="preserve"> mezinárodního míru a bezpečnosti</w:t>
      </w:r>
      <w:r>
        <w:t xml:space="preserve"> </w:t>
      </w:r>
      <w:r>
        <w:t>zastavení těchto sebeobranných akcí.</w:t>
      </w:r>
    </w:p>
    <w:p w:rsidR="001318BA" w:rsidRDefault="001318BA" w:rsidP="0059623F">
      <w:pPr>
        <w:numPr>
          <w:ilvl w:val="0"/>
          <w:numId w:val="8"/>
        </w:numPr>
        <w:spacing w:after="0" w:line="240" w:lineRule="auto"/>
        <w:ind w:left="426"/>
      </w:pPr>
      <w:r w:rsidRPr="001318BA">
        <w:t xml:space="preserve">Pravidla nasazení </w:t>
      </w:r>
      <w:r w:rsidR="00EC35B4">
        <w:t xml:space="preserve">/použití síly) </w:t>
      </w:r>
      <w:r w:rsidRPr="001318BA">
        <w:t xml:space="preserve">- </w:t>
      </w:r>
      <w:proofErr w:type="spellStart"/>
      <w:r w:rsidRPr="001318BA">
        <w:t>Rules</w:t>
      </w:r>
      <w:proofErr w:type="spellEnd"/>
      <w:r w:rsidRPr="001318BA">
        <w:t xml:space="preserve"> </w:t>
      </w:r>
      <w:proofErr w:type="spellStart"/>
      <w:r w:rsidRPr="001318BA">
        <w:t>of</w:t>
      </w:r>
      <w:proofErr w:type="spellEnd"/>
      <w:r w:rsidRPr="001318BA">
        <w:t xml:space="preserve"> </w:t>
      </w:r>
      <w:proofErr w:type="spellStart"/>
      <w:r w:rsidRPr="001318BA">
        <w:t>Engagement</w:t>
      </w:r>
      <w:proofErr w:type="spellEnd"/>
      <w:r w:rsidRPr="001318BA">
        <w:t xml:space="preserve"> (ROE)</w:t>
      </w:r>
    </w:p>
    <w:p w:rsidR="008E11B4" w:rsidRDefault="008E11B4" w:rsidP="008E11B4">
      <w:pPr>
        <w:spacing w:after="0" w:line="240" w:lineRule="auto"/>
        <w:ind w:left="66"/>
      </w:pPr>
    </w:p>
    <w:p w:rsidR="00C251EF" w:rsidRDefault="00C251EF" w:rsidP="00C251EF">
      <w:pPr>
        <w:spacing w:after="0" w:line="240" w:lineRule="auto"/>
        <w:ind w:left="66"/>
      </w:pPr>
      <w:r>
        <w:t>P</w:t>
      </w:r>
      <w:r w:rsidRPr="00C251EF">
        <w:t xml:space="preserve">ravidla pro podnikání kroků s využitím síly (často také nazývaná </w:t>
      </w:r>
      <w:r w:rsidRPr="00EC35B4">
        <w:rPr>
          <w:b/>
        </w:rPr>
        <w:t>pravidla pro použití síly</w:t>
      </w:r>
      <w:r w:rsidRPr="00C251EF">
        <w:t xml:space="preserve">, ROE) - zahrnují pravidla určená velitelům a jednotlivým vojákům, definování podmínek pro použití síly - kdy, kde a jakou sílu lze použít - buď k dosažení účelu </w:t>
      </w:r>
      <w:r w:rsidR="00EC35B4" w:rsidRPr="00C251EF">
        <w:t>operace, nebo</w:t>
      </w:r>
      <w:r w:rsidRPr="00C251EF">
        <w:t xml:space="preserve"> jako součást sebeobrany.</w:t>
      </w:r>
    </w:p>
    <w:p w:rsidR="00EC35B4" w:rsidRPr="00C251EF" w:rsidRDefault="00EC35B4" w:rsidP="00C251EF">
      <w:pPr>
        <w:spacing w:after="0" w:line="240" w:lineRule="auto"/>
        <w:ind w:left="66"/>
      </w:pPr>
    </w:p>
    <w:p w:rsidR="00EC35B4" w:rsidRDefault="00EC35B4" w:rsidP="00EC35B4">
      <w:pPr>
        <w:spacing w:after="0" w:line="240" w:lineRule="auto"/>
        <w:ind w:left="66"/>
      </w:pPr>
      <w:r w:rsidRPr="00EC35B4">
        <w:t>Pravidla pro použití síly jsou vytvořeny ze strany státu, a dokonce i někter</w:t>
      </w:r>
      <w:r>
        <w:t>ých</w:t>
      </w:r>
      <w:r w:rsidRPr="00EC35B4">
        <w:t xml:space="preserve"> mezinárodní</w:t>
      </w:r>
      <w:r>
        <w:t>ch</w:t>
      </w:r>
      <w:r w:rsidRPr="00EC35B4">
        <w:t xml:space="preserve"> organizace, které vedou nadnárodní mírov</w:t>
      </w:r>
      <w:r>
        <w:t>é</w:t>
      </w:r>
      <w:r w:rsidRPr="00EC35B4">
        <w:t xml:space="preserve"> mis</w:t>
      </w:r>
      <w:r>
        <w:t>e (např. NATO)</w:t>
      </w:r>
      <w:r w:rsidRPr="00EC35B4">
        <w:t>. Jsou vyvinuty zvlášť pro každou operaci (např. Stabilizace v rámci prevence proti šíření zbraní hromadného ničení, boje proti pirátství nebo obchodu s drogami, evakuaci osob) nebo pro stál</w:t>
      </w:r>
      <w:r>
        <w:t>é</w:t>
      </w:r>
      <w:r w:rsidRPr="00EC35B4">
        <w:t xml:space="preserve"> </w:t>
      </w:r>
      <w:r>
        <w:t>mírové</w:t>
      </w:r>
      <w:r w:rsidRPr="00EC35B4">
        <w:t xml:space="preserve"> aktivity mimo území státu. </w:t>
      </w:r>
    </w:p>
    <w:p w:rsidR="00EC35B4" w:rsidRPr="00EC35B4" w:rsidRDefault="00EC35B4" w:rsidP="00EC35B4">
      <w:pPr>
        <w:spacing w:after="0" w:line="240" w:lineRule="auto"/>
        <w:ind w:left="66"/>
      </w:pPr>
      <w:r w:rsidRPr="00EC35B4">
        <w:t>Jsou proto přizpůsobeny specifikům každého z nich, včetně mírových misí. Principy působení silou, sloužící cíl</w:t>
      </w:r>
      <w:r>
        <w:t>ům</w:t>
      </w:r>
      <w:r w:rsidRPr="00EC35B4">
        <w:t xml:space="preserve"> mise, tak</w:t>
      </w:r>
      <w:r>
        <w:t>é</w:t>
      </w:r>
      <w:r w:rsidRPr="00EC35B4">
        <w:t xml:space="preserve"> politický</w:t>
      </w:r>
      <w:r>
        <w:t>m</w:t>
      </w:r>
      <w:r w:rsidRPr="00EC35B4">
        <w:t xml:space="preserve"> cílů</w:t>
      </w:r>
      <w:r>
        <w:t>m</w:t>
      </w:r>
      <w:r w:rsidRPr="00EC35B4">
        <w:t xml:space="preserve"> státu, musí brát v úvahu taktiky a strategie síly</w:t>
      </w:r>
      <w:r>
        <w:t>.</w:t>
      </w:r>
      <w:r w:rsidRPr="00EC35B4">
        <w:t xml:space="preserve"> </w:t>
      </w:r>
      <w:r>
        <w:t xml:space="preserve">Musí být </w:t>
      </w:r>
      <w:r w:rsidRPr="00EC35B4">
        <w:t>v souladu s mezinárodním právem veřejným, především s m</w:t>
      </w:r>
      <w:r>
        <w:t>ezinárodním humanitárním právem.</w:t>
      </w:r>
    </w:p>
    <w:p w:rsidR="00EC35B4" w:rsidRPr="00EC35B4" w:rsidRDefault="00EC35B4" w:rsidP="00EC35B4">
      <w:pPr>
        <w:spacing w:after="0" w:line="240" w:lineRule="auto"/>
        <w:ind w:left="66"/>
      </w:pPr>
      <w:r>
        <w:t xml:space="preserve">Jsou to v zásadě </w:t>
      </w:r>
      <w:r w:rsidRPr="00EC35B4">
        <w:t>měrnice vydané příslušným vojenským orgánem, které specifikují</w:t>
      </w:r>
    </w:p>
    <w:p w:rsidR="00EC35B4" w:rsidRPr="00EC35B4" w:rsidRDefault="00EC35B4" w:rsidP="00EC35B4">
      <w:pPr>
        <w:pStyle w:val="Odstavecseseznamem"/>
        <w:numPr>
          <w:ilvl w:val="0"/>
          <w:numId w:val="21"/>
        </w:numPr>
        <w:spacing w:after="0" w:line="240" w:lineRule="auto"/>
        <w:ind w:left="567"/>
      </w:pPr>
      <w:r w:rsidRPr="00EC35B4">
        <w:t>okolnosti a</w:t>
      </w:r>
    </w:p>
    <w:p w:rsidR="00EC35B4" w:rsidRPr="00EC35B4" w:rsidRDefault="00EC35B4" w:rsidP="00EC35B4">
      <w:pPr>
        <w:pStyle w:val="Odstavecseseznamem"/>
        <w:numPr>
          <w:ilvl w:val="0"/>
          <w:numId w:val="21"/>
        </w:numPr>
        <w:spacing w:after="0" w:line="240" w:lineRule="auto"/>
        <w:ind w:left="567"/>
      </w:pPr>
      <w:r w:rsidRPr="00EC35B4">
        <w:t>omezení</w:t>
      </w:r>
    </w:p>
    <w:p w:rsidR="008E11B4" w:rsidRPr="0046570A" w:rsidRDefault="00EC35B4" w:rsidP="008E11B4">
      <w:pPr>
        <w:spacing w:after="0" w:line="240" w:lineRule="auto"/>
        <w:ind w:left="66"/>
      </w:pPr>
      <w:r>
        <w:t>podle kterých</w:t>
      </w:r>
      <w:r w:rsidRPr="00EC35B4">
        <w:t xml:space="preserve"> budou síly iniciovat a / nebo pokračovat v boji proti jiným silám</w:t>
      </w:r>
      <w:r>
        <w:t xml:space="preserve">. </w:t>
      </w:r>
      <w:r w:rsidR="009B0EA5">
        <w:t xml:space="preserve">Pravidla nasazení jsou </w:t>
      </w:r>
      <w:r>
        <w:t xml:space="preserve">konečným </w:t>
      </w:r>
      <w:r w:rsidR="009B0EA5">
        <w:t>důsledkem</w:t>
      </w:r>
      <w:r>
        <w:t xml:space="preserve"> </w:t>
      </w:r>
      <w:r w:rsidR="009B0EA5">
        <w:t>(</w:t>
      </w:r>
      <w:r>
        <w:t>průnik</w:t>
      </w:r>
      <w:r w:rsidR="009B0EA5">
        <w:t>em)</w:t>
      </w:r>
      <w:r>
        <w:t xml:space="preserve"> </w:t>
      </w:r>
      <w:r w:rsidR="009B0EA5">
        <w:t xml:space="preserve">bezpečnostní politiky státu, jeho vojenské strategie, pravidel mezinárodního a vnitrostátního práva. </w:t>
      </w:r>
    </w:p>
    <w:sectPr w:rsidR="008E11B4" w:rsidRPr="0046570A"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5E" w:rsidRDefault="00884D5E" w:rsidP="0046570A">
      <w:r>
        <w:separator/>
      </w:r>
    </w:p>
  </w:endnote>
  <w:endnote w:type="continuationSeparator" w:id="0">
    <w:p w:rsidR="00884D5E" w:rsidRDefault="00884D5E"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884D5E"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884D5E"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5E" w:rsidRDefault="00884D5E" w:rsidP="0046570A">
      <w:r>
        <w:separator/>
      </w:r>
    </w:p>
  </w:footnote>
  <w:footnote w:type="continuationSeparator" w:id="0">
    <w:p w:rsidR="00884D5E" w:rsidRDefault="00884D5E"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6C6"/>
    <w:multiLevelType w:val="hybridMultilevel"/>
    <w:tmpl w:val="F9AA967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DD33D3"/>
    <w:multiLevelType w:val="hybridMultilevel"/>
    <w:tmpl w:val="A8EACC0C"/>
    <w:lvl w:ilvl="0" w:tplc="D336653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DC664D"/>
    <w:multiLevelType w:val="hybridMultilevel"/>
    <w:tmpl w:val="AC0CF536"/>
    <w:lvl w:ilvl="0" w:tplc="E05A6F76">
      <w:start w:val="1"/>
      <w:numFmt w:val="decimal"/>
      <w:lvlText w:val="%1."/>
      <w:lvlJc w:val="left"/>
      <w:pPr>
        <w:tabs>
          <w:tab w:val="num" w:pos="720"/>
        </w:tabs>
        <w:ind w:left="720" w:hanging="360"/>
      </w:pPr>
    </w:lvl>
    <w:lvl w:ilvl="1" w:tplc="7B1C432E" w:tentative="1">
      <w:start w:val="1"/>
      <w:numFmt w:val="decimal"/>
      <w:lvlText w:val="%2."/>
      <w:lvlJc w:val="left"/>
      <w:pPr>
        <w:tabs>
          <w:tab w:val="num" w:pos="1440"/>
        </w:tabs>
        <w:ind w:left="1440" w:hanging="360"/>
      </w:pPr>
    </w:lvl>
    <w:lvl w:ilvl="2" w:tplc="9222C528" w:tentative="1">
      <w:start w:val="1"/>
      <w:numFmt w:val="decimal"/>
      <w:lvlText w:val="%3."/>
      <w:lvlJc w:val="left"/>
      <w:pPr>
        <w:tabs>
          <w:tab w:val="num" w:pos="2160"/>
        </w:tabs>
        <w:ind w:left="2160" w:hanging="360"/>
      </w:pPr>
    </w:lvl>
    <w:lvl w:ilvl="3" w:tplc="36C6C86E" w:tentative="1">
      <w:start w:val="1"/>
      <w:numFmt w:val="decimal"/>
      <w:lvlText w:val="%4."/>
      <w:lvlJc w:val="left"/>
      <w:pPr>
        <w:tabs>
          <w:tab w:val="num" w:pos="2880"/>
        </w:tabs>
        <w:ind w:left="2880" w:hanging="360"/>
      </w:pPr>
    </w:lvl>
    <w:lvl w:ilvl="4" w:tplc="D6562F14" w:tentative="1">
      <w:start w:val="1"/>
      <w:numFmt w:val="decimal"/>
      <w:lvlText w:val="%5."/>
      <w:lvlJc w:val="left"/>
      <w:pPr>
        <w:tabs>
          <w:tab w:val="num" w:pos="3600"/>
        </w:tabs>
        <w:ind w:left="3600" w:hanging="360"/>
      </w:pPr>
    </w:lvl>
    <w:lvl w:ilvl="5" w:tplc="6D5250D4" w:tentative="1">
      <w:start w:val="1"/>
      <w:numFmt w:val="decimal"/>
      <w:lvlText w:val="%6."/>
      <w:lvlJc w:val="left"/>
      <w:pPr>
        <w:tabs>
          <w:tab w:val="num" w:pos="4320"/>
        </w:tabs>
        <w:ind w:left="4320" w:hanging="360"/>
      </w:pPr>
    </w:lvl>
    <w:lvl w:ilvl="6" w:tplc="298C36B4" w:tentative="1">
      <w:start w:val="1"/>
      <w:numFmt w:val="decimal"/>
      <w:lvlText w:val="%7."/>
      <w:lvlJc w:val="left"/>
      <w:pPr>
        <w:tabs>
          <w:tab w:val="num" w:pos="5040"/>
        </w:tabs>
        <w:ind w:left="5040" w:hanging="360"/>
      </w:pPr>
    </w:lvl>
    <w:lvl w:ilvl="7" w:tplc="109473B8" w:tentative="1">
      <w:start w:val="1"/>
      <w:numFmt w:val="decimal"/>
      <w:lvlText w:val="%8."/>
      <w:lvlJc w:val="left"/>
      <w:pPr>
        <w:tabs>
          <w:tab w:val="num" w:pos="5760"/>
        </w:tabs>
        <w:ind w:left="5760" w:hanging="360"/>
      </w:pPr>
    </w:lvl>
    <w:lvl w:ilvl="8" w:tplc="BA7E078A" w:tentative="1">
      <w:start w:val="1"/>
      <w:numFmt w:val="decimal"/>
      <w:lvlText w:val="%9."/>
      <w:lvlJc w:val="left"/>
      <w:pPr>
        <w:tabs>
          <w:tab w:val="num" w:pos="6480"/>
        </w:tabs>
        <w:ind w:left="6480" w:hanging="360"/>
      </w:pPr>
    </w:lvl>
  </w:abstractNum>
  <w:abstractNum w:abstractNumId="12" w15:restartNumberingAfterBreak="0">
    <w:nsid w:val="4C076549"/>
    <w:multiLevelType w:val="hybridMultilevel"/>
    <w:tmpl w:val="B80C4308"/>
    <w:lvl w:ilvl="0" w:tplc="0C5A540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105E01"/>
    <w:multiLevelType w:val="hybridMultilevel"/>
    <w:tmpl w:val="44B2AFD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DD07BF"/>
    <w:multiLevelType w:val="hybridMultilevel"/>
    <w:tmpl w:val="CBCCC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446DC3"/>
    <w:multiLevelType w:val="hybridMultilevel"/>
    <w:tmpl w:val="429E2490"/>
    <w:lvl w:ilvl="0" w:tplc="0F02FEBE">
      <w:start w:val="1"/>
      <w:numFmt w:val="bullet"/>
      <w:lvlText w:val="•"/>
      <w:lvlJc w:val="left"/>
      <w:pPr>
        <w:tabs>
          <w:tab w:val="num" w:pos="720"/>
        </w:tabs>
        <w:ind w:left="720" w:hanging="360"/>
      </w:pPr>
      <w:rPr>
        <w:rFonts w:ascii="Arial" w:hAnsi="Arial" w:hint="default"/>
      </w:rPr>
    </w:lvl>
    <w:lvl w:ilvl="1" w:tplc="6F987676" w:tentative="1">
      <w:start w:val="1"/>
      <w:numFmt w:val="bullet"/>
      <w:lvlText w:val="•"/>
      <w:lvlJc w:val="left"/>
      <w:pPr>
        <w:tabs>
          <w:tab w:val="num" w:pos="1440"/>
        </w:tabs>
        <w:ind w:left="1440" w:hanging="360"/>
      </w:pPr>
      <w:rPr>
        <w:rFonts w:ascii="Arial" w:hAnsi="Arial" w:hint="default"/>
      </w:rPr>
    </w:lvl>
    <w:lvl w:ilvl="2" w:tplc="F6F6EED2" w:tentative="1">
      <w:start w:val="1"/>
      <w:numFmt w:val="bullet"/>
      <w:lvlText w:val="•"/>
      <w:lvlJc w:val="left"/>
      <w:pPr>
        <w:tabs>
          <w:tab w:val="num" w:pos="2160"/>
        </w:tabs>
        <w:ind w:left="2160" w:hanging="360"/>
      </w:pPr>
      <w:rPr>
        <w:rFonts w:ascii="Arial" w:hAnsi="Arial" w:hint="default"/>
      </w:rPr>
    </w:lvl>
    <w:lvl w:ilvl="3" w:tplc="914205EE" w:tentative="1">
      <w:start w:val="1"/>
      <w:numFmt w:val="bullet"/>
      <w:lvlText w:val="•"/>
      <w:lvlJc w:val="left"/>
      <w:pPr>
        <w:tabs>
          <w:tab w:val="num" w:pos="2880"/>
        </w:tabs>
        <w:ind w:left="2880" w:hanging="360"/>
      </w:pPr>
      <w:rPr>
        <w:rFonts w:ascii="Arial" w:hAnsi="Arial" w:hint="default"/>
      </w:rPr>
    </w:lvl>
    <w:lvl w:ilvl="4" w:tplc="C1402DAC" w:tentative="1">
      <w:start w:val="1"/>
      <w:numFmt w:val="bullet"/>
      <w:lvlText w:val="•"/>
      <w:lvlJc w:val="left"/>
      <w:pPr>
        <w:tabs>
          <w:tab w:val="num" w:pos="3600"/>
        </w:tabs>
        <w:ind w:left="3600" w:hanging="360"/>
      </w:pPr>
      <w:rPr>
        <w:rFonts w:ascii="Arial" w:hAnsi="Arial" w:hint="default"/>
      </w:rPr>
    </w:lvl>
    <w:lvl w:ilvl="5" w:tplc="AFB64A92" w:tentative="1">
      <w:start w:val="1"/>
      <w:numFmt w:val="bullet"/>
      <w:lvlText w:val="•"/>
      <w:lvlJc w:val="left"/>
      <w:pPr>
        <w:tabs>
          <w:tab w:val="num" w:pos="4320"/>
        </w:tabs>
        <w:ind w:left="4320" w:hanging="360"/>
      </w:pPr>
      <w:rPr>
        <w:rFonts w:ascii="Arial" w:hAnsi="Arial" w:hint="default"/>
      </w:rPr>
    </w:lvl>
    <w:lvl w:ilvl="6" w:tplc="1B5601D4" w:tentative="1">
      <w:start w:val="1"/>
      <w:numFmt w:val="bullet"/>
      <w:lvlText w:val="•"/>
      <w:lvlJc w:val="left"/>
      <w:pPr>
        <w:tabs>
          <w:tab w:val="num" w:pos="5040"/>
        </w:tabs>
        <w:ind w:left="5040" w:hanging="360"/>
      </w:pPr>
      <w:rPr>
        <w:rFonts w:ascii="Arial" w:hAnsi="Arial" w:hint="default"/>
      </w:rPr>
    </w:lvl>
    <w:lvl w:ilvl="7" w:tplc="7394980E" w:tentative="1">
      <w:start w:val="1"/>
      <w:numFmt w:val="bullet"/>
      <w:lvlText w:val="•"/>
      <w:lvlJc w:val="left"/>
      <w:pPr>
        <w:tabs>
          <w:tab w:val="num" w:pos="5760"/>
        </w:tabs>
        <w:ind w:left="5760" w:hanging="360"/>
      </w:pPr>
      <w:rPr>
        <w:rFonts w:ascii="Arial" w:hAnsi="Arial" w:hint="default"/>
      </w:rPr>
    </w:lvl>
    <w:lvl w:ilvl="8" w:tplc="D66EF5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674B56"/>
    <w:multiLevelType w:val="hybridMultilevel"/>
    <w:tmpl w:val="BB44AF00"/>
    <w:lvl w:ilvl="0" w:tplc="432AEFA2">
      <w:start w:val="1"/>
      <w:numFmt w:val="bullet"/>
      <w:lvlText w:val="•"/>
      <w:lvlJc w:val="left"/>
      <w:pPr>
        <w:tabs>
          <w:tab w:val="num" w:pos="720"/>
        </w:tabs>
        <w:ind w:left="720" w:hanging="360"/>
      </w:pPr>
      <w:rPr>
        <w:rFonts w:ascii="Arial" w:hAnsi="Arial" w:hint="default"/>
      </w:rPr>
    </w:lvl>
    <w:lvl w:ilvl="1" w:tplc="BA76DEAA" w:tentative="1">
      <w:start w:val="1"/>
      <w:numFmt w:val="bullet"/>
      <w:lvlText w:val="•"/>
      <w:lvlJc w:val="left"/>
      <w:pPr>
        <w:tabs>
          <w:tab w:val="num" w:pos="1440"/>
        </w:tabs>
        <w:ind w:left="1440" w:hanging="360"/>
      </w:pPr>
      <w:rPr>
        <w:rFonts w:ascii="Arial" w:hAnsi="Arial" w:hint="default"/>
      </w:rPr>
    </w:lvl>
    <w:lvl w:ilvl="2" w:tplc="DEE44B8A" w:tentative="1">
      <w:start w:val="1"/>
      <w:numFmt w:val="bullet"/>
      <w:lvlText w:val="•"/>
      <w:lvlJc w:val="left"/>
      <w:pPr>
        <w:tabs>
          <w:tab w:val="num" w:pos="2160"/>
        </w:tabs>
        <w:ind w:left="2160" w:hanging="360"/>
      </w:pPr>
      <w:rPr>
        <w:rFonts w:ascii="Arial" w:hAnsi="Arial" w:hint="default"/>
      </w:rPr>
    </w:lvl>
    <w:lvl w:ilvl="3" w:tplc="82241194" w:tentative="1">
      <w:start w:val="1"/>
      <w:numFmt w:val="bullet"/>
      <w:lvlText w:val="•"/>
      <w:lvlJc w:val="left"/>
      <w:pPr>
        <w:tabs>
          <w:tab w:val="num" w:pos="2880"/>
        </w:tabs>
        <w:ind w:left="2880" w:hanging="360"/>
      </w:pPr>
      <w:rPr>
        <w:rFonts w:ascii="Arial" w:hAnsi="Arial" w:hint="default"/>
      </w:rPr>
    </w:lvl>
    <w:lvl w:ilvl="4" w:tplc="ACB666D0" w:tentative="1">
      <w:start w:val="1"/>
      <w:numFmt w:val="bullet"/>
      <w:lvlText w:val="•"/>
      <w:lvlJc w:val="left"/>
      <w:pPr>
        <w:tabs>
          <w:tab w:val="num" w:pos="3600"/>
        </w:tabs>
        <w:ind w:left="3600" w:hanging="360"/>
      </w:pPr>
      <w:rPr>
        <w:rFonts w:ascii="Arial" w:hAnsi="Arial" w:hint="default"/>
      </w:rPr>
    </w:lvl>
    <w:lvl w:ilvl="5" w:tplc="B6D24E9C" w:tentative="1">
      <w:start w:val="1"/>
      <w:numFmt w:val="bullet"/>
      <w:lvlText w:val="•"/>
      <w:lvlJc w:val="left"/>
      <w:pPr>
        <w:tabs>
          <w:tab w:val="num" w:pos="4320"/>
        </w:tabs>
        <w:ind w:left="4320" w:hanging="360"/>
      </w:pPr>
      <w:rPr>
        <w:rFonts w:ascii="Arial" w:hAnsi="Arial" w:hint="default"/>
      </w:rPr>
    </w:lvl>
    <w:lvl w:ilvl="6" w:tplc="052E2918" w:tentative="1">
      <w:start w:val="1"/>
      <w:numFmt w:val="bullet"/>
      <w:lvlText w:val="•"/>
      <w:lvlJc w:val="left"/>
      <w:pPr>
        <w:tabs>
          <w:tab w:val="num" w:pos="5040"/>
        </w:tabs>
        <w:ind w:left="5040" w:hanging="360"/>
      </w:pPr>
      <w:rPr>
        <w:rFonts w:ascii="Arial" w:hAnsi="Arial" w:hint="default"/>
      </w:rPr>
    </w:lvl>
    <w:lvl w:ilvl="7" w:tplc="FE9A0AAA" w:tentative="1">
      <w:start w:val="1"/>
      <w:numFmt w:val="bullet"/>
      <w:lvlText w:val="•"/>
      <w:lvlJc w:val="left"/>
      <w:pPr>
        <w:tabs>
          <w:tab w:val="num" w:pos="5760"/>
        </w:tabs>
        <w:ind w:left="5760" w:hanging="360"/>
      </w:pPr>
      <w:rPr>
        <w:rFonts w:ascii="Arial" w:hAnsi="Arial" w:hint="default"/>
      </w:rPr>
    </w:lvl>
    <w:lvl w:ilvl="8" w:tplc="62860A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1"/>
  </w:num>
  <w:num w:numId="5">
    <w:abstractNumId w:val="9"/>
  </w:num>
  <w:num w:numId="6">
    <w:abstractNumId w:val="10"/>
  </w:num>
  <w:num w:numId="7">
    <w:abstractNumId w:val="18"/>
  </w:num>
  <w:num w:numId="8">
    <w:abstractNumId w:val="0"/>
  </w:num>
  <w:num w:numId="9">
    <w:abstractNumId w:val="3"/>
  </w:num>
  <w:num w:numId="10">
    <w:abstractNumId w:val="4"/>
  </w:num>
  <w:num w:numId="11">
    <w:abstractNumId w:val="20"/>
  </w:num>
  <w:num w:numId="12">
    <w:abstractNumId w:val="14"/>
  </w:num>
  <w:num w:numId="13">
    <w:abstractNumId w:val="6"/>
  </w:num>
  <w:num w:numId="14">
    <w:abstractNumId w:val="5"/>
  </w:num>
  <w:num w:numId="15">
    <w:abstractNumId w:val="19"/>
  </w:num>
  <w:num w:numId="16">
    <w:abstractNumId w:val="17"/>
  </w:num>
  <w:num w:numId="17">
    <w:abstractNumId w:val="11"/>
  </w:num>
  <w:num w:numId="18">
    <w:abstractNumId w:val="15"/>
  </w:num>
  <w:num w:numId="19">
    <w:abstractNumId w:val="12"/>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75494"/>
    <w:rsid w:val="00093133"/>
    <w:rsid w:val="000A76D4"/>
    <w:rsid w:val="000D3D5B"/>
    <w:rsid w:val="000E1010"/>
    <w:rsid w:val="00101FEB"/>
    <w:rsid w:val="001318BA"/>
    <w:rsid w:val="001414A4"/>
    <w:rsid w:val="00171349"/>
    <w:rsid w:val="001F7449"/>
    <w:rsid w:val="00213505"/>
    <w:rsid w:val="00236B33"/>
    <w:rsid w:val="002429D9"/>
    <w:rsid w:val="0027000D"/>
    <w:rsid w:val="0029586E"/>
    <w:rsid w:val="002B0E2D"/>
    <w:rsid w:val="002C2BBC"/>
    <w:rsid w:val="002C65D9"/>
    <w:rsid w:val="002D2E62"/>
    <w:rsid w:val="002E32A5"/>
    <w:rsid w:val="002F0CC6"/>
    <w:rsid w:val="00337FA2"/>
    <w:rsid w:val="003430C3"/>
    <w:rsid w:val="00363E3B"/>
    <w:rsid w:val="00396497"/>
    <w:rsid w:val="003F22EB"/>
    <w:rsid w:val="0040310B"/>
    <w:rsid w:val="00413E19"/>
    <w:rsid w:val="00424E37"/>
    <w:rsid w:val="004424EF"/>
    <w:rsid w:val="00451CCF"/>
    <w:rsid w:val="00451EBB"/>
    <w:rsid w:val="0046570A"/>
    <w:rsid w:val="00483D68"/>
    <w:rsid w:val="004B2F6C"/>
    <w:rsid w:val="004B7890"/>
    <w:rsid w:val="004F508D"/>
    <w:rsid w:val="00511C20"/>
    <w:rsid w:val="005563D4"/>
    <w:rsid w:val="00563B7C"/>
    <w:rsid w:val="00585845"/>
    <w:rsid w:val="0059235B"/>
    <w:rsid w:val="00597308"/>
    <w:rsid w:val="005F1DD4"/>
    <w:rsid w:val="005F77ED"/>
    <w:rsid w:val="00637BA0"/>
    <w:rsid w:val="00763972"/>
    <w:rsid w:val="007B04AA"/>
    <w:rsid w:val="0081668B"/>
    <w:rsid w:val="00851BD1"/>
    <w:rsid w:val="0087331B"/>
    <w:rsid w:val="0087572E"/>
    <w:rsid w:val="00884D5E"/>
    <w:rsid w:val="008A434F"/>
    <w:rsid w:val="008D32DD"/>
    <w:rsid w:val="008E11B4"/>
    <w:rsid w:val="008F7BF9"/>
    <w:rsid w:val="009067A4"/>
    <w:rsid w:val="00955FDF"/>
    <w:rsid w:val="00966163"/>
    <w:rsid w:val="0097627B"/>
    <w:rsid w:val="009A277A"/>
    <w:rsid w:val="009B0EA5"/>
    <w:rsid w:val="009C0E2B"/>
    <w:rsid w:val="009E08C6"/>
    <w:rsid w:val="009F0088"/>
    <w:rsid w:val="00A01A5E"/>
    <w:rsid w:val="00A75C5A"/>
    <w:rsid w:val="00AA1496"/>
    <w:rsid w:val="00AA1801"/>
    <w:rsid w:val="00AD5A85"/>
    <w:rsid w:val="00B00ABB"/>
    <w:rsid w:val="00B427E9"/>
    <w:rsid w:val="00B57B3B"/>
    <w:rsid w:val="00B64950"/>
    <w:rsid w:val="00BB1714"/>
    <w:rsid w:val="00C251EF"/>
    <w:rsid w:val="00C33B2E"/>
    <w:rsid w:val="00C63C8D"/>
    <w:rsid w:val="00C700EA"/>
    <w:rsid w:val="00C87A98"/>
    <w:rsid w:val="00C913FD"/>
    <w:rsid w:val="00CC5479"/>
    <w:rsid w:val="00CE3CEA"/>
    <w:rsid w:val="00D44652"/>
    <w:rsid w:val="00D57654"/>
    <w:rsid w:val="00D974AF"/>
    <w:rsid w:val="00DA7ABB"/>
    <w:rsid w:val="00DC1FE1"/>
    <w:rsid w:val="00DC7D59"/>
    <w:rsid w:val="00E020C7"/>
    <w:rsid w:val="00E56AB3"/>
    <w:rsid w:val="00E57CF1"/>
    <w:rsid w:val="00E75E1B"/>
    <w:rsid w:val="00E8263B"/>
    <w:rsid w:val="00E9343E"/>
    <w:rsid w:val="00EC35B4"/>
    <w:rsid w:val="00F42D76"/>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C096"/>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 w:type="paragraph" w:styleId="Bezmezer">
    <w:name w:val="No Spacing"/>
    <w:uiPriority w:val="1"/>
    <w:qFormat/>
    <w:rsid w:val="00451CCF"/>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402">
      <w:bodyDiv w:val="1"/>
      <w:marLeft w:val="0"/>
      <w:marRight w:val="0"/>
      <w:marTop w:val="0"/>
      <w:marBottom w:val="0"/>
      <w:divBdr>
        <w:top w:val="none" w:sz="0" w:space="0" w:color="auto"/>
        <w:left w:val="none" w:sz="0" w:space="0" w:color="auto"/>
        <w:bottom w:val="none" w:sz="0" w:space="0" w:color="auto"/>
        <w:right w:val="none" w:sz="0" w:space="0" w:color="auto"/>
      </w:divBdr>
      <w:divsChild>
        <w:div w:id="1054693900">
          <w:marLeft w:val="562"/>
          <w:marRight w:val="0"/>
          <w:marTop w:val="120"/>
          <w:marBottom w:val="120"/>
          <w:divBdr>
            <w:top w:val="none" w:sz="0" w:space="0" w:color="auto"/>
            <w:left w:val="none" w:sz="0" w:space="0" w:color="auto"/>
            <w:bottom w:val="none" w:sz="0" w:space="0" w:color="auto"/>
            <w:right w:val="none" w:sz="0" w:space="0" w:color="auto"/>
          </w:divBdr>
        </w:div>
        <w:div w:id="1910116385">
          <w:marLeft w:val="562"/>
          <w:marRight w:val="0"/>
          <w:marTop w:val="120"/>
          <w:marBottom w:val="120"/>
          <w:divBdr>
            <w:top w:val="none" w:sz="0" w:space="0" w:color="auto"/>
            <w:left w:val="none" w:sz="0" w:space="0" w:color="auto"/>
            <w:bottom w:val="none" w:sz="0" w:space="0" w:color="auto"/>
            <w:right w:val="none" w:sz="0" w:space="0" w:color="auto"/>
          </w:divBdr>
        </w:div>
        <w:div w:id="1691106400">
          <w:marLeft w:val="562"/>
          <w:marRight w:val="0"/>
          <w:marTop w:val="120"/>
          <w:marBottom w:val="120"/>
          <w:divBdr>
            <w:top w:val="none" w:sz="0" w:space="0" w:color="auto"/>
            <w:left w:val="none" w:sz="0" w:space="0" w:color="auto"/>
            <w:bottom w:val="none" w:sz="0" w:space="0" w:color="auto"/>
            <w:right w:val="none" w:sz="0" w:space="0" w:color="auto"/>
          </w:divBdr>
        </w:div>
        <w:div w:id="2125415662">
          <w:marLeft w:val="562"/>
          <w:marRight w:val="0"/>
          <w:marTop w:val="120"/>
          <w:marBottom w:val="120"/>
          <w:divBdr>
            <w:top w:val="none" w:sz="0" w:space="0" w:color="auto"/>
            <w:left w:val="none" w:sz="0" w:space="0" w:color="auto"/>
            <w:bottom w:val="none" w:sz="0" w:space="0" w:color="auto"/>
            <w:right w:val="none" w:sz="0" w:space="0" w:color="auto"/>
          </w:divBdr>
        </w:div>
      </w:divsChild>
    </w:div>
    <w:div w:id="165873625">
      <w:bodyDiv w:val="1"/>
      <w:marLeft w:val="0"/>
      <w:marRight w:val="0"/>
      <w:marTop w:val="0"/>
      <w:marBottom w:val="0"/>
      <w:divBdr>
        <w:top w:val="none" w:sz="0" w:space="0" w:color="auto"/>
        <w:left w:val="none" w:sz="0" w:space="0" w:color="auto"/>
        <w:bottom w:val="none" w:sz="0" w:space="0" w:color="auto"/>
        <w:right w:val="none" w:sz="0" w:space="0" w:color="auto"/>
      </w:divBdr>
      <w:divsChild>
        <w:div w:id="667564093">
          <w:marLeft w:val="360"/>
          <w:marRight w:val="0"/>
          <w:marTop w:val="2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407073463">
      <w:bodyDiv w:val="1"/>
      <w:marLeft w:val="0"/>
      <w:marRight w:val="0"/>
      <w:marTop w:val="0"/>
      <w:marBottom w:val="0"/>
      <w:divBdr>
        <w:top w:val="none" w:sz="0" w:space="0" w:color="auto"/>
        <w:left w:val="none" w:sz="0" w:space="0" w:color="auto"/>
        <w:bottom w:val="none" w:sz="0" w:space="0" w:color="auto"/>
        <w:right w:val="none" w:sz="0" w:space="0" w:color="auto"/>
      </w:divBdr>
      <w:divsChild>
        <w:div w:id="467941805">
          <w:marLeft w:val="562"/>
          <w:marRight w:val="0"/>
          <w:marTop w:val="120"/>
          <w:marBottom w:val="120"/>
          <w:divBdr>
            <w:top w:val="none" w:sz="0" w:space="0" w:color="auto"/>
            <w:left w:val="none" w:sz="0" w:space="0" w:color="auto"/>
            <w:bottom w:val="none" w:sz="0" w:space="0" w:color="auto"/>
            <w:right w:val="none" w:sz="0" w:space="0" w:color="auto"/>
          </w:divBdr>
        </w:div>
        <w:div w:id="426654284">
          <w:marLeft w:val="562"/>
          <w:marRight w:val="0"/>
          <w:marTop w:val="120"/>
          <w:marBottom w:val="12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246643345">
      <w:bodyDiv w:val="1"/>
      <w:marLeft w:val="0"/>
      <w:marRight w:val="0"/>
      <w:marTop w:val="0"/>
      <w:marBottom w:val="0"/>
      <w:divBdr>
        <w:top w:val="none" w:sz="0" w:space="0" w:color="auto"/>
        <w:left w:val="none" w:sz="0" w:space="0" w:color="auto"/>
        <w:bottom w:val="none" w:sz="0" w:space="0" w:color="auto"/>
        <w:right w:val="none" w:sz="0" w:space="0" w:color="auto"/>
      </w:divBdr>
      <w:divsChild>
        <w:div w:id="2100439255">
          <w:marLeft w:val="360"/>
          <w:marRight w:val="0"/>
          <w:marTop w:val="200"/>
          <w:marBottom w:val="0"/>
          <w:divBdr>
            <w:top w:val="none" w:sz="0" w:space="0" w:color="auto"/>
            <w:left w:val="none" w:sz="0" w:space="0" w:color="auto"/>
            <w:bottom w:val="none" w:sz="0" w:space="0" w:color="auto"/>
            <w:right w:val="none" w:sz="0" w:space="0" w:color="auto"/>
          </w:divBdr>
        </w:div>
      </w:divsChild>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40403636">
      <w:bodyDiv w:val="1"/>
      <w:marLeft w:val="0"/>
      <w:marRight w:val="0"/>
      <w:marTop w:val="0"/>
      <w:marBottom w:val="0"/>
      <w:divBdr>
        <w:top w:val="none" w:sz="0" w:space="0" w:color="auto"/>
        <w:left w:val="none" w:sz="0" w:space="0" w:color="auto"/>
        <w:bottom w:val="none" w:sz="0" w:space="0" w:color="auto"/>
        <w:right w:val="none" w:sz="0" w:space="0" w:color="auto"/>
      </w:divBdr>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277">
      <w:bodyDiv w:val="1"/>
      <w:marLeft w:val="0"/>
      <w:marRight w:val="0"/>
      <w:marTop w:val="0"/>
      <w:marBottom w:val="0"/>
      <w:divBdr>
        <w:top w:val="none" w:sz="0" w:space="0" w:color="auto"/>
        <w:left w:val="none" w:sz="0" w:space="0" w:color="auto"/>
        <w:bottom w:val="none" w:sz="0" w:space="0" w:color="auto"/>
        <w:right w:val="none" w:sz="0" w:space="0" w:color="auto"/>
      </w:divBdr>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4972">
      <w:bodyDiv w:val="1"/>
      <w:marLeft w:val="0"/>
      <w:marRight w:val="0"/>
      <w:marTop w:val="0"/>
      <w:marBottom w:val="0"/>
      <w:divBdr>
        <w:top w:val="none" w:sz="0" w:space="0" w:color="auto"/>
        <w:left w:val="none" w:sz="0" w:space="0" w:color="auto"/>
        <w:bottom w:val="none" w:sz="0" w:space="0" w:color="auto"/>
        <w:right w:val="none" w:sz="0" w:space="0" w:color="auto"/>
      </w:divBdr>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1153</Words>
  <Characters>6803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3</cp:revision>
  <dcterms:created xsi:type="dcterms:W3CDTF">2018-07-23T09:55:00Z</dcterms:created>
  <dcterms:modified xsi:type="dcterms:W3CDTF">2018-07-23T13:10:00Z</dcterms:modified>
</cp:coreProperties>
</file>