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7F4B4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7F4B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1A5013">
        <w:rPr>
          <w:rFonts w:ascii="Times New Roman" w:hAnsi="Times New Roman"/>
          <w:b/>
          <w:sz w:val="24"/>
          <w:szCs w:val="24"/>
        </w:rPr>
        <w:t xml:space="preserve"> </w:t>
      </w:r>
      <w:r w:rsidR="0018592C">
        <w:rPr>
          <w:rFonts w:ascii="Times New Roman" w:hAnsi="Times New Roman"/>
          <w:b/>
          <w:sz w:val="24"/>
          <w:szCs w:val="24"/>
        </w:rPr>
        <w:t>Trestněprávní odpovědnost a veřejná správa</w:t>
      </w:r>
      <w:r w:rsidR="001A5013" w:rsidRPr="001A5013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8C0D8D">
        <w:rPr>
          <w:rFonts w:ascii="Times New Roman" w:hAnsi="Times New Roman"/>
          <w:sz w:val="24"/>
          <w:szCs w:val="24"/>
        </w:rPr>
        <w:t xml:space="preserve">e základními principy </w:t>
      </w:r>
      <w:r w:rsidR="00D939F4">
        <w:rPr>
          <w:rFonts w:ascii="Times New Roman" w:hAnsi="Times New Roman"/>
          <w:sz w:val="24"/>
          <w:szCs w:val="24"/>
        </w:rPr>
        <w:t>trestněprávní odpovědnosti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940D9C">
        <w:rPr>
          <w:rFonts w:ascii="Times New Roman" w:hAnsi="Times New Roman"/>
          <w:sz w:val="24"/>
          <w:szCs w:val="24"/>
        </w:rPr>
        <w:t>v</w:t>
      </w:r>
      <w:r w:rsidR="00D939F4">
        <w:rPr>
          <w:rFonts w:ascii="Times New Roman" w:hAnsi="Times New Roman"/>
          <w:sz w:val="24"/>
          <w:szCs w:val="24"/>
        </w:rPr>
        <w:t> oblasti trestné činnosti úředních osob, resp. trestných činů páchaných na úředních osobách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7F4B4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DE33FB" w:rsidRDefault="00DE33FB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Definujte trestněprávní odpovědnost.</w:t>
      </w:r>
    </w:p>
    <w:p w:rsidR="00DE33FB" w:rsidRDefault="00DE33FB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Vymezte úřední osobu.</w:t>
      </w:r>
    </w:p>
    <w:p w:rsidR="001331A4" w:rsidRPr="00D67DB2" w:rsidRDefault="00DE33FB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některé skutkové podstaty trestných činů s vazbou na veřejnou správu.</w:t>
      </w:r>
      <w:r w:rsidR="0018592C">
        <w:rPr>
          <w:rFonts w:ascii="Times New Roman" w:hAnsi="Times New Roman"/>
          <w:sz w:val="24"/>
          <w:szCs w:val="24"/>
        </w:rPr>
        <w:t xml:space="preserve"> </w:t>
      </w:r>
    </w:p>
    <w:p w:rsidR="006A02F6" w:rsidRPr="00DE33FB" w:rsidRDefault="00FB7D21" w:rsidP="00DE33FB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DE33FB" w:rsidRPr="00DE33FB" w:rsidRDefault="00DE33FB" w:rsidP="00DE33F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4"/>
          <w:szCs w:val="24"/>
          <w:lang w:eastAsia="cs-CZ"/>
        </w:rPr>
      </w:pPr>
      <w:r w:rsidRPr="00DE33FB">
        <w:rPr>
          <w:rFonts w:ascii="Open Sans" w:eastAsia="Times New Roman" w:hAnsi="Open Sans"/>
          <w:sz w:val="24"/>
          <w:szCs w:val="24"/>
          <w:lang w:eastAsia="cs-CZ"/>
        </w:rPr>
        <w:t xml:space="preserve">DRAŠTÍK, Antonín. </w:t>
      </w:r>
      <w:r w:rsidRPr="00DE33FB">
        <w:rPr>
          <w:rFonts w:ascii="Open Sans" w:eastAsia="Times New Roman" w:hAnsi="Open Sans"/>
          <w:i/>
          <w:iCs/>
          <w:sz w:val="24"/>
          <w:szCs w:val="24"/>
          <w:lang w:eastAsia="cs-CZ"/>
        </w:rPr>
        <w:t>Trestní zákoník: komentář</w:t>
      </w:r>
      <w:r w:rsidRPr="00DE33FB">
        <w:rPr>
          <w:rFonts w:ascii="Open Sans" w:eastAsia="Times New Roman" w:hAnsi="Open Sans"/>
          <w:sz w:val="24"/>
          <w:szCs w:val="24"/>
          <w:lang w:eastAsia="cs-CZ"/>
        </w:rPr>
        <w:t xml:space="preserve">. Praha: </w:t>
      </w:r>
      <w:proofErr w:type="spellStart"/>
      <w:r w:rsidRPr="00DE33FB">
        <w:rPr>
          <w:rFonts w:ascii="Open Sans" w:eastAsia="Times New Roman" w:hAnsi="Open Sans"/>
          <w:sz w:val="24"/>
          <w:szCs w:val="24"/>
          <w:lang w:eastAsia="cs-CZ"/>
        </w:rPr>
        <w:t>Wolters</w:t>
      </w:r>
      <w:proofErr w:type="spellEnd"/>
      <w:r w:rsidRPr="00DE33FB">
        <w:rPr>
          <w:rFonts w:ascii="Open Sans" w:eastAsia="Times New Roman" w:hAnsi="Open Sans"/>
          <w:sz w:val="24"/>
          <w:szCs w:val="24"/>
          <w:lang w:eastAsia="cs-CZ"/>
        </w:rPr>
        <w:t xml:space="preserve"> </w:t>
      </w:r>
      <w:proofErr w:type="spellStart"/>
      <w:r w:rsidRPr="00DE33FB">
        <w:rPr>
          <w:rFonts w:ascii="Open Sans" w:eastAsia="Times New Roman" w:hAnsi="Open Sans"/>
          <w:sz w:val="24"/>
          <w:szCs w:val="24"/>
          <w:lang w:eastAsia="cs-CZ"/>
        </w:rPr>
        <w:t>Kluwer</w:t>
      </w:r>
      <w:proofErr w:type="spellEnd"/>
      <w:r w:rsidRPr="00DE33FB">
        <w:rPr>
          <w:rFonts w:ascii="Open Sans" w:eastAsia="Times New Roman" w:hAnsi="Open Sans"/>
          <w:sz w:val="24"/>
          <w:szCs w:val="24"/>
          <w:lang w:eastAsia="cs-CZ"/>
        </w:rPr>
        <w:t>, 2015. Komentáře (</w:t>
      </w:r>
      <w:proofErr w:type="spellStart"/>
      <w:r w:rsidRPr="00DE33FB">
        <w:rPr>
          <w:rFonts w:ascii="Open Sans" w:eastAsia="Times New Roman" w:hAnsi="Open Sans"/>
          <w:sz w:val="24"/>
          <w:szCs w:val="24"/>
          <w:lang w:eastAsia="cs-CZ"/>
        </w:rPr>
        <w:t>Wolters</w:t>
      </w:r>
      <w:proofErr w:type="spellEnd"/>
      <w:r w:rsidRPr="00DE33FB">
        <w:rPr>
          <w:rFonts w:ascii="Open Sans" w:eastAsia="Times New Roman" w:hAnsi="Open Sans"/>
          <w:sz w:val="24"/>
          <w:szCs w:val="24"/>
          <w:lang w:eastAsia="cs-CZ"/>
        </w:rPr>
        <w:t xml:space="preserve"> </w:t>
      </w:r>
      <w:proofErr w:type="spellStart"/>
      <w:r w:rsidRPr="00DE33FB">
        <w:rPr>
          <w:rFonts w:ascii="Open Sans" w:eastAsia="Times New Roman" w:hAnsi="Open Sans"/>
          <w:sz w:val="24"/>
          <w:szCs w:val="24"/>
          <w:lang w:eastAsia="cs-CZ"/>
        </w:rPr>
        <w:t>Kluwer</w:t>
      </w:r>
      <w:proofErr w:type="spellEnd"/>
      <w:r w:rsidRPr="00DE33FB">
        <w:rPr>
          <w:rFonts w:ascii="Open Sans" w:eastAsia="Times New Roman" w:hAnsi="Open Sans"/>
          <w:sz w:val="24"/>
          <w:szCs w:val="24"/>
          <w:lang w:eastAsia="cs-CZ"/>
        </w:rPr>
        <w:t xml:space="preserve"> ČR). ISBN 978-80-7478-790-4.</w:t>
      </w:r>
    </w:p>
    <w:p w:rsidR="0051289B" w:rsidRPr="00A12769" w:rsidRDefault="0091449A" w:rsidP="007F4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Základy práva a vybrané kapitoly mezinárodního humanitárního </w:t>
      </w:r>
      <w:r w:rsidRPr="00A1276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práva: studijní text</w:t>
      </w:r>
      <w:r w:rsidRPr="00A12769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6A02F6" w:rsidRPr="004557A3" w:rsidRDefault="00DE33FB" w:rsidP="00455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sz w:val="24"/>
          <w:szCs w:val="24"/>
          <w:lang w:eastAsia="cs-CZ"/>
        </w:rPr>
      </w:pPr>
      <w:r>
        <w:rPr>
          <w:rFonts w:ascii="Open Sans" w:eastAsia="Times New Roman" w:hAnsi="Open Sans"/>
          <w:sz w:val="24"/>
          <w:szCs w:val="24"/>
          <w:lang w:eastAsia="cs-CZ"/>
        </w:rPr>
        <w:t>Zákon č. 40/2009 Sb., trestní zákoník, ve znění pozdějších předpisů.</w:t>
      </w:r>
      <w:r w:rsidR="0018592C">
        <w:rPr>
          <w:rFonts w:ascii="Open Sans" w:eastAsia="Times New Roman" w:hAnsi="Open Sans"/>
          <w:sz w:val="24"/>
          <w:szCs w:val="24"/>
          <w:lang w:eastAsia="cs-CZ"/>
        </w:rPr>
        <w:t xml:space="preserve"> </w:t>
      </w:r>
    </w:p>
    <w:p w:rsidR="005F77ED" w:rsidRDefault="00637BA0" w:rsidP="007F4B48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B54217" w:rsidRPr="00B54217" w:rsidRDefault="00B54217" w:rsidP="007F4B48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Úvod</w:t>
      </w:r>
    </w:p>
    <w:p w:rsidR="00B54217" w:rsidRPr="00B54217" w:rsidRDefault="00B54217" w:rsidP="007F4B48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 xml:space="preserve">1. </w:t>
      </w:r>
      <w:r w:rsidR="0018592C">
        <w:rPr>
          <w:rFonts w:ascii="Times New Roman" w:hAnsi="Times New Roman"/>
          <w:sz w:val="24"/>
          <w:szCs w:val="24"/>
        </w:rPr>
        <w:t>Trestněprávní odpovědnost</w:t>
      </w:r>
      <w:r w:rsidR="00EA77BA">
        <w:rPr>
          <w:rFonts w:ascii="Times New Roman" w:hAnsi="Times New Roman"/>
          <w:sz w:val="24"/>
          <w:szCs w:val="24"/>
        </w:rPr>
        <w:t xml:space="preserve"> – charakteristika</w:t>
      </w:r>
    </w:p>
    <w:p w:rsidR="00B54217" w:rsidRPr="00B54217" w:rsidRDefault="00B54217" w:rsidP="007F4B48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 xml:space="preserve">2. </w:t>
      </w:r>
      <w:r w:rsidR="00240667">
        <w:rPr>
          <w:rFonts w:ascii="Times New Roman" w:hAnsi="Times New Roman"/>
          <w:sz w:val="24"/>
          <w:szCs w:val="24"/>
        </w:rPr>
        <w:t xml:space="preserve">Úřední osoba jako pachatel </w:t>
      </w:r>
      <w:r w:rsidR="007F4B48">
        <w:rPr>
          <w:rFonts w:ascii="Times New Roman" w:hAnsi="Times New Roman"/>
          <w:sz w:val="24"/>
          <w:szCs w:val="24"/>
        </w:rPr>
        <w:t>a oběť</w:t>
      </w:r>
    </w:p>
    <w:p w:rsidR="00B54217" w:rsidRDefault="00EA77BA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40667">
        <w:rPr>
          <w:rFonts w:ascii="Times New Roman" w:hAnsi="Times New Roman"/>
          <w:sz w:val="24"/>
          <w:szCs w:val="24"/>
        </w:rPr>
        <w:t>Vybrané skutkové podstaty trestn</w:t>
      </w:r>
      <w:r w:rsidR="007F4B48">
        <w:rPr>
          <w:rFonts w:ascii="Times New Roman" w:hAnsi="Times New Roman"/>
          <w:sz w:val="24"/>
          <w:szCs w:val="24"/>
        </w:rPr>
        <w:t xml:space="preserve">ého činu </w:t>
      </w:r>
      <w:r w:rsidR="00240667">
        <w:rPr>
          <w:rFonts w:ascii="Times New Roman" w:hAnsi="Times New Roman"/>
          <w:sz w:val="24"/>
          <w:szCs w:val="24"/>
        </w:rPr>
        <w:t>se vztahem k</w:t>
      </w:r>
      <w:r w:rsidR="00C922B4">
        <w:rPr>
          <w:rFonts w:ascii="Times New Roman" w:hAnsi="Times New Roman"/>
          <w:sz w:val="24"/>
          <w:szCs w:val="24"/>
        </w:rPr>
        <w:t> úředním osobám</w:t>
      </w:r>
    </w:p>
    <w:p w:rsidR="00A545DF" w:rsidRDefault="00B54217" w:rsidP="007F4B48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Závěr</w:t>
      </w:r>
    </w:p>
    <w:p w:rsidR="0051289B" w:rsidRDefault="00B54217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592C" w:rsidRDefault="0018592C" w:rsidP="007F4B48">
      <w:pPr>
        <w:jc w:val="both"/>
        <w:rPr>
          <w:rFonts w:ascii="Times New Roman" w:hAnsi="Times New Roman"/>
          <w:sz w:val="24"/>
          <w:szCs w:val="24"/>
        </w:rPr>
      </w:pPr>
      <w:r w:rsidRPr="0018592C">
        <w:rPr>
          <w:rFonts w:ascii="Times New Roman" w:hAnsi="Times New Roman"/>
          <w:sz w:val="24"/>
          <w:szCs w:val="24"/>
        </w:rPr>
        <w:t>Úvod</w:t>
      </w:r>
    </w:p>
    <w:p w:rsidR="00B027AA" w:rsidRDefault="00B027AA" w:rsidP="007F4B48">
      <w:pPr>
        <w:jc w:val="both"/>
        <w:rPr>
          <w:rFonts w:ascii="Times New Roman" w:hAnsi="Times New Roman"/>
          <w:sz w:val="24"/>
          <w:szCs w:val="24"/>
        </w:rPr>
      </w:pPr>
      <w:r w:rsidRPr="00B027AA">
        <w:rPr>
          <w:rFonts w:ascii="Times New Roman" w:hAnsi="Times New Roman"/>
          <w:sz w:val="24"/>
          <w:szCs w:val="24"/>
        </w:rPr>
        <w:t>Právní odpovědnost lze charakterizovat jako nepříznivé právní důsledky stanovené právní normou, které vznikají za právem stanovených podmínek v důsledku protiprávního jednání, protiprávního stavu. Právní odpovědnost většinou vystupuje jako sekundární povinnost snášet nepříznivé následky, vznikající v důsledku porušení povinnosti primární, zatímco sankce spočívá v těchto nepříznivých následcích samotných.</w:t>
      </w:r>
      <w:r w:rsidR="00240667">
        <w:rPr>
          <w:rFonts w:ascii="Times New Roman" w:hAnsi="Times New Roman"/>
          <w:sz w:val="24"/>
          <w:szCs w:val="24"/>
        </w:rPr>
        <w:t xml:space="preserve"> </w:t>
      </w:r>
      <w:r w:rsidRPr="00B027AA">
        <w:rPr>
          <w:rFonts w:ascii="Times New Roman" w:hAnsi="Times New Roman"/>
          <w:sz w:val="24"/>
          <w:szCs w:val="24"/>
        </w:rPr>
        <w:t xml:space="preserve">V případě trestněprávní odpovědnosti se jedná o následnou sankční reakci státní moci na protiprávní jednání pachatele, které je trestným činem. </w:t>
      </w:r>
    </w:p>
    <w:p w:rsidR="001F57AF" w:rsidRPr="0018592C" w:rsidRDefault="001F57AF" w:rsidP="007F4B48">
      <w:pPr>
        <w:jc w:val="both"/>
        <w:rPr>
          <w:rFonts w:ascii="Times New Roman" w:hAnsi="Times New Roman"/>
          <w:sz w:val="24"/>
          <w:szCs w:val="24"/>
        </w:rPr>
      </w:pPr>
    </w:p>
    <w:p w:rsidR="00B027AA" w:rsidRPr="00B027AA" w:rsidRDefault="0018592C" w:rsidP="007F4B48">
      <w:pPr>
        <w:jc w:val="both"/>
        <w:rPr>
          <w:rFonts w:ascii="Times New Roman" w:hAnsi="Times New Roman"/>
          <w:sz w:val="24"/>
          <w:szCs w:val="24"/>
        </w:rPr>
      </w:pPr>
      <w:r w:rsidRPr="0018592C">
        <w:rPr>
          <w:rFonts w:ascii="Times New Roman" w:hAnsi="Times New Roman"/>
          <w:sz w:val="24"/>
          <w:szCs w:val="24"/>
        </w:rPr>
        <w:lastRenderedPageBreak/>
        <w:t>1. Trestněprávní odpovědnost – charakteristika</w:t>
      </w:r>
    </w:p>
    <w:p w:rsidR="001F57AF" w:rsidRPr="00D939F4" w:rsidRDefault="00B027AA" w:rsidP="001F57AF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 w:rsidRPr="00B027AA">
        <w:rPr>
          <w:rFonts w:ascii="Times New Roman" w:hAnsi="Times New Roman"/>
          <w:sz w:val="24"/>
          <w:szCs w:val="24"/>
        </w:rPr>
        <w:t xml:space="preserve">Jediným a výlučným základem </w:t>
      </w:r>
      <w:r w:rsidRPr="0085685E">
        <w:rPr>
          <w:rFonts w:ascii="Times New Roman" w:hAnsi="Times New Roman"/>
          <w:b/>
          <w:sz w:val="24"/>
          <w:szCs w:val="24"/>
        </w:rPr>
        <w:t xml:space="preserve">trestní odpovědnosti </w:t>
      </w:r>
      <w:r w:rsidRPr="00B027AA">
        <w:rPr>
          <w:rFonts w:ascii="Times New Roman" w:hAnsi="Times New Roman"/>
          <w:sz w:val="24"/>
          <w:szCs w:val="24"/>
        </w:rPr>
        <w:t xml:space="preserve">je trestný čin. </w:t>
      </w:r>
      <w:r w:rsidR="001F57AF" w:rsidRPr="00D939F4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Zásada subsidiarity trestní represe </w:t>
      </w:r>
      <w:r w:rsidR="001F57AF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(§ 12 trestního zákoníku) </w:t>
      </w:r>
      <w:r w:rsidR="001F57AF" w:rsidRPr="00D939F4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znamená, že trestní odpovědnost lze uplatňovat pouze v případech společensky škodlivých, nepostačí-li jiná sankce podle jiného zákona.</w:t>
      </w:r>
    </w:p>
    <w:p w:rsidR="00B027AA" w:rsidRPr="00B027AA" w:rsidRDefault="00B027AA" w:rsidP="007F4B48">
      <w:pPr>
        <w:jc w:val="both"/>
        <w:rPr>
          <w:rFonts w:ascii="Times New Roman" w:hAnsi="Times New Roman"/>
          <w:sz w:val="24"/>
          <w:szCs w:val="24"/>
        </w:rPr>
      </w:pPr>
      <w:r w:rsidRPr="00B027AA">
        <w:rPr>
          <w:rFonts w:ascii="Times New Roman" w:hAnsi="Times New Roman"/>
          <w:sz w:val="24"/>
          <w:szCs w:val="24"/>
        </w:rPr>
        <w:t>Legální definic</w:t>
      </w:r>
      <w:r w:rsidR="005327C2">
        <w:rPr>
          <w:rFonts w:ascii="Times New Roman" w:hAnsi="Times New Roman"/>
          <w:sz w:val="24"/>
          <w:szCs w:val="24"/>
        </w:rPr>
        <w:t>i</w:t>
      </w:r>
      <w:r w:rsidRPr="00B027AA">
        <w:rPr>
          <w:rFonts w:ascii="Times New Roman" w:hAnsi="Times New Roman"/>
          <w:sz w:val="24"/>
          <w:szCs w:val="24"/>
        </w:rPr>
        <w:t xml:space="preserve"> pojmu </w:t>
      </w:r>
      <w:r w:rsidRPr="0085685E">
        <w:rPr>
          <w:rFonts w:ascii="Times New Roman" w:hAnsi="Times New Roman"/>
          <w:b/>
          <w:sz w:val="24"/>
          <w:szCs w:val="24"/>
        </w:rPr>
        <w:t>„trestný čin“</w:t>
      </w:r>
      <w:r w:rsidRPr="00B027AA">
        <w:rPr>
          <w:rFonts w:ascii="Times New Roman" w:hAnsi="Times New Roman"/>
          <w:sz w:val="24"/>
          <w:szCs w:val="24"/>
        </w:rPr>
        <w:t xml:space="preserve"> je možno nalézt v</w:t>
      </w:r>
      <w:r w:rsidR="005327C2">
        <w:rPr>
          <w:rFonts w:ascii="Times New Roman" w:hAnsi="Times New Roman"/>
          <w:sz w:val="24"/>
          <w:szCs w:val="24"/>
        </w:rPr>
        <w:t> zákoně č. 40/2009 Sb.,</w:t>
      </w:r>
      <w:r w:rsidRPr="00B027AA">
        <w:rPr>
          <w:rFonts w:ascii="Times New Roman" w:hAnsi="Times New Roman"/>
          <w:sz w:val="24"/>
          <w:szCs w:val="24"/>
        </w:rPr>
        <w:t xml:space="preserve"> trestním zákoníku.</w:t>
      </w:r>
      <w:r w:rsidR="004557A3">
        <w:rPr>
          <w:rFonts w:ascii="Times New Roman" w:hAnsi="Times New Roman"/>
          <w:sz w:val="24"/>
          <w:szCs w:val="24"/>
        </w:rPr>
        <w:t xml:space="preserve"> Stejně tak jsou v </w:t>
      </w:r>
      <w:r w:rsidRPr="00B027AA">
        <w:rPr>
          <w:rFonts w:ascii="Times New Roman" w:hAnsi="Times New Roman"/>
          <w:sz w:val="24"/>
          <w:szCs w:val="24"/>
        </w:rPr>
        <w:t>trestním zákon</w:t>
      </w:r>
      <w:r w:rsidR="004557A3">
        <w:rPr>
          <w:rFonts w:ascii="Times New Roman" w:hAnsi="Times New Roman"/>
          <w:sz w:val="24"/>
          <w:szCs w:val="24"/>
        </w:rPr>
        <w:t>íku</w:t>
      </w:r>
      <w:r w:rsidRPr="00B027AA">
        <w:rPr>
          <w:rFonts w:ascii="Times New Roman" w:hAnsi="Times New Roman"/>
          <w:sz w:val="24"/>
          <w:szCs w:val="24"/>
        </w:rPr>
        <w:t xml:space="preserve"> upraveny základy trestní odpovědnosti, jednotlivé skutkové podstaty trestného činu a stanoveny okolnosti vylučující protiprávnost. Trestný čin je protiprávní čin, který trestní zákon označuje za trestný a který vykazuje znaky uvedené v takovém zákoně.</w:t>
      </w:r>
    </w:p>
    <w:p w:rsidR="00B027AA" w:rsidRPr="00B027AA" w:rsidRDefault="00B027AA" w:rsidP="007F4B48">
      <w:pPr>
        <w:jc w:val="both"/>
        <w:rPr>
          <w:rFonts w:ascii="Times New Roman" w:hAnsi="Times New Roman"/>
          <w:sz w:val="24"/>
          <w:szCs w:val="24"/>
        </w:rPr>
      </w:pPr>
      <w:r w:rsidRPr="00B027AA">
        <w:rPr>
          <w:rFonts w:ascii="Times New Roman" w:hAnsi="Times New Roman"/>
          <w:sz w:val="24"/>
          <w:szCs w:val="24"/>
        </w:rPr>
        <w:t xml:space="preserve">Trestní zákoník rozlišuje podle závažnosti dvě kategorie trestných činů, a to </w:t>
      </w:r>
      <w:r w:rsidR="005327C2" w:rsidRPr="00B027AA">
        <w:rPr>
          <w:rFonts w:ascii="Times New Roman" w:hAnsi="Times New Roman"/>
          <w:sz w:val="24"/>
          <w:szCs w:val="24"/>
        </w:rPr>
        <w:t xml:space="preserve">přečiny </w:t>
      </w:r>
      <w:r w:rsidR="004557A3">
        <w:rPr>
          <w:rFonts w:ascii="Times New Roman" w:hAnsi="Times New Roman"/>
          <w:sz w:val="24"/>
          <w:szCs w:val="24"/>
        </w:rPr>
        <w:t>a </w:t>
      </w:r>
      <w:r w:rsidR="005327C2" w:rsidRPr="00B027AA">
        <w:rPr>
          <w:rFonts w:ascii="Times New Roman" w:hAnsi="Times New Roman"/>
          <w:sz w:val="24"/>
          <w:szCs w:val="24"/>
        </w:rPr>
        <w:t>zločiny</w:t>
      </w:r>
      <w:r w:rsidRPr="00B027AA">
        <w:rPr>
          <w:rFonts w:ascii="Times New Roman" w:hAnsi="Times New Roman"/>
          <w:sz w:val="24"/>
          <w:szCs w:val="24"/>
        </w:rPr>
        <w:t>. Přitom přečinem se rozumí čin, za který trestní zákoník stanoví trest odnětí svobody do pěti let. Trestný čin spáchaný z nedbalosti je přečinem vždy. Ostatní trestné činy jsou považo</w:t>
      </w:r>
      <w:r w:rsidR="005327C2">
        <w:rPr>
          <w:rFonts w:ascii="Times New Roman" w:hAnsi="Times New Roman"/>
          <w:sz w:val="24"/>
          <w:szCs w:val="24"/>
        </w:rPr>
        <w:t>vány za zločiny.</w:t>
      </w:r>
      <w:r w:rsidR="004557A3">
        <w:rPr>
          <w:rFonts w:ascii="Times New Roman" w:hAnsi="Times New Roman"/>
          <w:sz w:val="24"/>
          <w:szCs w:val="24"/>
        </w:rPr>
        <w:t xml:space="preserve"> Trestné činy mladistvých pachatelů se označují jako přečiny.</w:t>
      </w:r>
    </w:p>
    <w:p w:rsidR="005327C2" w:rsidRDefault="00B027AA" w:rsidP="007F4B48">
      <w:pPr>
        <w:jc w:val="both"/>
        <w:rPr>
          <w:rFonts w:ascii="Times New Roman" w:hAnsi="Times New Roman"/>
          <w:sz w:val="24"/>
          <w:szCs w:val="24"/>
        </w:rPr>
      </w:pPr>
      <w:r w:rsidRPr="00B027AA">
        <w:rPr>
          <w:rFonts w:ascii="Times New Roman" w:hAnsi="Times New Roman"/>
          <w:sz w:val="24"/>
          <w:szCs w:val="24"/>
        </w:rPr>
        <w:t>Okolnosti vylučující protiprávnost, jsou-li splněny, mají za následek, že jednání, které by jinak bylo trestným činem, trestným činem není, protože není prot</w:t>
      </w:r>
      <w:r w:rsidR="005327C2">
        <w:rPr>
          <w:rFonts w:ascii="Times New Roman" w:hAnsi="Times New Roman"/>
          <w:sz w:val="24"/>
          <w:szCs w:val="24"/>
        </w:rPr>
        <w:t xml:space="preserve">iprávní. Těmito okolnostmi jsou: </w:t>
      </w:r>
    </w:p>
    <w:p w:rsidR="00B027AA" w:rsidRPr="005327C2" w:rsidRDefault="00B027AA" w:rsidP="007F4B4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nutná obrana (přiměřené odvracení trvajícího nebo hrozícího útoku), </w:t>
      </w:r>
    </w:p>
    <w:p w:rsidR="00B027AA" w:rsidRPr="005327C2" w:rsidRDefault="00B027AA" w:rsidP="007F4B4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krajní nouze (odvracení hrozícího nebezpečí, nelze-li odvrátit jinak a následky nejsou horší než ty, které hrozily), </w:t>
      </w:r>
    </w:p>
    <w:p w:rsidR="00B027AA" w:rsidRPr="005327C2" w:rsidRDefault="00B027AA" w:rsidP="007F4B4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svolení poškozeného (jednání na základě svolení osoby, jejíž zájmy, o nichž tato osoba může bez omezení oprávněně rozhodovat, jsou činem dotčeny),</w:t>
      </w:r>
    </w:p>
    <w:p w:rsidR="00B027AA" w:rsidRPr="005327C2" w:rsidRDefault="00B027AA" w:rsidP="007F4B4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přípustné riziko (trestný čin nespáchá, kdo v soula</w:t>
      </w:r>
      <w:r w:rsidR="004557A3">
        <w:rPr>
          <w:rFonts w:ascii="Times New Roman" w:hAnsi="Times New Roman"/>
          <w:sz w:val="24"/>
          <w:szCs w:val="24"/>
        </w:rPr>
        <w:t>du s dosaženým stavem poznání a </w:t>
      </w:r>
      <w:r w:rsidRPr="005327C2">
        <w:rPr>
          <w:rFonts w:ascii="Times New Roman" w:hAnsi="Times New Roman"/>
          <w:sz w:val="24"/>
          <w:szCs w:val="24"/>
        </w:rPr>
        <w:t xml:space="preserve">informacemi, které měl v době svého rozhodování o </w:t>
      </w:r>
      <w:r w:rsidR="004557A3">
        <w:rPr>
          <w:rFonts w:ascii="Times New Roman" w:hAnsi="Times New Roman"/>
          <w:sz w:val="24"/>
          <w:szCs w:val="24"/>
        </w:rPr>
        <w:t>dalším postupu, vykonává v </w:t>
      </w:r>
      <w:r w:rsidRPr="005327C2">
        <w:rPr>
          <w:rFonts w:ascii="Times New Roman" w:hAnsi="Times New Roman"/>
          <w:sz w:val="24"/>
          <w:szCs w:val="24"/>
        </w:rPr>
        <w:t>rámci svého zaměstnání, povolání, postavení nebo funkce společensky prospěšnou činnost, kterou ohrozí nebo poruší zájem chráněný trestním zákonem, nelze-li společensky prospěšného výsledku dosáhnout jinak),</w:t>
      </w:r>
    </w:p>
    <w:p w:rsidR="005327C2" w:rsidRPr="003151E3" w:rsidRDefault="00B027AA" w:rsidP="007F4B4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oprávněné použití zbraně (použití zbraně v mezích stanovených jiným právním předpisem).</w:t>
      </w:r>
    </w:p>
    <w:p w:rsidR="003151E3" w:rsidRDefault="003151E3" w:rsidP="003151E3">
      <w:pPr>
        <w:pStyle w:val="Normlnweb"/>
        <w:shd w:val="clear" w:color="auto" w:fill="FFFFFF"/>
        <w:jc w:val="both"/>
      </w:pPr>
      <w:r>
        <w:t xml:space="preserve">Pachatel trestného činu musí splňovat obecné zákonné znaky. Předně trestně odpovědným je pachatel, pokud je v době spáchání trestného činu starší </w:t>
      </w:r>
      <w:r w:rsidRPr="00C36BA6">
        <w:t>15 let</w:t>
      </w:r>
      <w:r>
        <w:t>,</w:t>
      </w:r>
      <w:r w:rsidRPr="00C36BA6">
        <w:t xml:space="preserve"> od </w:t>
      </w:r>
      <w:r>
        <w:t>18 let plná trestní odpovědnost. Č</w:t>
      </w:r>
      <w:r w:rsidRPr="00C36BA6">
        <w:t xml:space="preserve">ástečná trestní odpovědnost </w:t>
      </w:r>
      <w:r>
        <w:t>u</w:t>
      </w:r>
      <w:r w:rsidRPr="00C36BA6">
        <w:t xml:space="preserve"> mladistv</w:t>
      </w:r>
      <w:r>
        <w:t>ých</w:t>
      </w:r>
      <w:r w:rsidRPr="00C36BA6">
        <w:t xml:space="preserve"> </w:t>
      </w:r>
      <w:r>
        <w:t>se</w:t>
      </w:r>
      <w:r w:rsidRPr="00C36BA6">
        <w:t xml:space="preserve"> zvláštní</w:t>
      </w:r>
      <w:r>
        <w:t>m</w:t>
      </w:r>
      <w:r w:rsidRPr="00C36BA6">
        <w:t xml:space="preserve"> systém sankcí (zákon o</w:t>
      </w:r>
      <w:r>
        <w:t xml:space="preserve"> soudnictví ve věcech mládeže). Pachatel dále musí být </w:t>
      </w:r>
      <w:r w:rsidRPr="00C36BA6">
        <w:t>příčetn</w:t>
      </w:r>
      <w:r>
        <w:t xml:space="preserve">ý, </w:t>
      </w:r>
      <w:r w:rsidRPr="00C36BA6">
        <w:t xml:space="preserve">způsobilost být pachatelem pokud jde o duševní schopnosti. </w:t>
      </w:r>
    </w:p>
    <w:p w:rsidR="003151E3" w:rsidRDefault="003151E3" w:rsidP="007F4B48">
      <w:pPr>
        <w:jc w:val="both"/>
        <w:rPr>
          <w:rFonts w:ascii="Times New Roman" w:hAnsi="Times New Roman"/>
          <w:sz w:val="24"/>
          <w:szCs w:val="24"/>
        </w:rPr>
      </w:pPr>
    </w:p>
    <w:p w:rsidR="00B027AA" w:rsidRPr="00C358E0" w:rsidRDefault="005327C2" w:rsidP="007F4B48">
      <w:pPr>
        <w:jc w:val="both"/>
        <w:rPr>
          <w:rFonts w:ascii="Times New Roman" w:hAnsi="Times New Roman"/>
          <w:b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2. Úřední osoba jako p</w:t>
      </w:r>
      <w:r w:rsidRPr="00C358E0">
        <w:rPr>
          <w:rFonts w:ascii="Times New Roman" w:hAnsi="Times New Roman"/>
          <w:sz w:val="24"/>
          <w:szCs w:val="24"/>
        </w:rPr>
        <w:t>achatel</w:t>
      </w:r>
      <w:r w:rsidR="007F4B48">
        <w:rPr>
          <w:rFonts w:ascii="Times New Roman" w:hAnsi="Times New Roman"/>
          <w:sz w:val="24"/>
          <w:szCs w:val="24"/>
        </w:rPr>
        <w:t xml:space="preserve"> a oběť</w:t>
      </w:r>
    </w:p>
    <w:p w:rsidR="005327C2" w:rsidRPr="005327C2" w:rsidRDefault="00C36BA6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Než bude věnována pozornost jednotlivým trestným činům, resp. skutkovým podstatám trestných činů spáchaných v souvislosti s výkonem veřejné správy, je potřeba vymezit </w:t>
      </w:r>
      <w:r>
        <w:rPr>
          <w:rFonts w:ascii="Times New Roman" w:hAnsi="Times New Roman"/>
          <w:sz w:val="24"/>
          <w:szCs w:val="24"/>
        </w:rPr>
        <w:lastRenderedPageBreak/>
        <w:t>tzv.</w:t>
      </w:r>
      <w:r w:rsidR="00315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úřední osobu. </w:t>
      </w:r>
      <w:r w:rsidR="005327C2">
        <w:rPr>
          <w:rFonts w:ascii="Times New Roman" w:hAnsi="Times New Roman"/>
          <w:sz w:val="24"/>
          <w:szCs w:val="24"/>
        </w:rPr>
        <w:t xml:space="preserve">Úřední osoba je </w:t>
      </w:r>
      <w:r>
        <w:rPr>
          <w:rFonts w:ascii="Times New Roman" w:hAnsi="Times New Roman"/>
          <w:sz w:val="24"/>
          <w:szCs w:val="24"/>
        </w:rPr>
        <w:t xml:space="preserve">taxativně (úplný výčet) </w:t>
      </w:r>
      <w:r w:rsidR="005327C2">
        <w:rPr>
          <w:rFonts w:ascii="Times New Roman" w:hAnsi="Times New Roman"/>
          <w:sz w:val="24"/>
          <w:szCs w:val="24"/>
        </w:rPr>
        <w:t xml:space="preserve">vymezena v ustanovení § </w:t>
      </w:r>
      <w:r w:rsidR="005327C2" w:rsidRPr="005327C2">
        <w:rPr>
          <w:rFonts w:ascii="Times New Roman" w:hAnsi="Times New Roman"/>
          <w:sz w:val="24"/>
          <w:szCs w:val="24"/>
        </w:rPr>
        <w:t xml:space="preserve">127 </w:t>
      </w:r>
      <w:r w:rsidR="005327C2">
        <w:rPr>
          <w:rFonts w:ascii="Times New Roman" w:hAnsi="Times New Roman"/>
          <w:sz w:val="24"/>
          <w:szCs w:val="24"/>
        </w:rPr>
        <w:t xml:space="preserve">trestního zákoníku. </w:t>
      </w:r>
      <w:r w:rsidR="005327C2" w:rsidRPr="00C358E0">
        <w:rPr>
          <w:rFonts w:ascii="Times New Roman" w:hAnsi="Times New Roman"/>
          <w:b/>
          <w:sz w:val="24"/>
          <w:szCs w:val="24"/>
        </w:rPr>
        <w:t>Úřední osobou</w:t>
      </w:r>
      <w:r w:rsidR="005327C2" w:rsidRPr="005327C2">
        <w:rPr>
          <w:rFonts w:ascii="Times New Roman" w:hAnsi="Times New Roman"/>
          <w:sz w:val="24"/>
          <w:szCs w:val="24"/>
        </w:rPr>
        <w:t xml:space="preserve"> je</w:t>
      </w:r>
      <w:r w:rsidR="005327C2">
        <w:rPr>
          <w:rFonts w:ascii="Times New Roman" w:hAnsi="Times New Roman"/>
          <w:sz w:val="24"/>
          <w:szCs w:val="24"/>
        </w:rPr>
        <w:t>:</w:t>
      </w:r>
      <w:r w:rsidR="005327C2" w:rsidRPr="005327C2">
        <w:rPr>
          <w:rFonts w:ascii="Times New Roman" w:hAnsi="Times New Roman"/>
          <w:sz w:val="24"/>
          <w:szCs w:val="24"/>
        </w:rPr>
        <w:t xml:space="preserve"> 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 xml:space="preserve">soudce, 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 xml:space="preserve">státní zástupce, 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>prezident České republiky, poslanec nebo senátor Parlamentu České republiky, člen vlády České republiky nebo jiná osoba zastávající funkci v jiném orgánu veřejné moci,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>člen zastupitelstva nebo odpovědný úředník územní samosprávy, orgánu státní správy nebo jiného orgánu veřejné moci,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>příslušník ozbrojených sil nebo bezpečnostního sboru nebo strážník obecní policie,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 xml:space="preserve">soudní exekutor při výkonu exekuční činnosti </w:t>
      </w:r>
      <w:r w:rsidR="004557A3">
        <w:rPr>
          <w:rFonts w:ascii="Times New Roman" w:hAnsi="Times New Roman"/>
          <w:sz w:val="24"/>
          <w:szCs w:val="24"/>
        </w:rPr>
        <w:t>a při činnostech vykonávaných z </w:t>
      </w:r>
      <w:r w:rsidRPr="00761F3F">
        <w:rPr>
          <w:rFonts w:ascii="Times New Roman" w:hAnsi="Times New Roman"/>
          <w:sz w:val="24"/>
          <w:szCs w:val="24"/>
        </w:rPr>
        <w:t>pověření soudu nebo státního zástupce,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>notář při provádění úkonů v řízení o dědictví jako soudní komisař,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>finanční arbitr a jeho zástupce,</w:t>
      </w:r>
    </w:p>
    <w:p w:rsidR="005327C2" w:rsidRPr="00761F3F" w:rsidRDefault="005327C2" w:rsidP="007F4B4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61F3F">
        <w:rPr>
          <w:rFonts w:ascii="Times New Roman" w:hAnsi="Times New Roman"/>
          <w:sz w:val="24"/>
          <w:szCs w:val="24"/>
        </w:rPr>
        <w:t>fyzická osoba, která byla ustanovena lesní stráží, stráží přírody, mysliveckou stráží nebo rybářskou stráží</w:t>
      </w:r>
      <w:r w:rsidR="007F50A8" w:rsidRPr="00761F3F">
        <w:rPr>
          <w:rFonts w:ascii="Times New Roman" w:hAnsi="Times New Roman"/>
          <w:sz w:val="24"/>
          <w:szCs w:val="24"/>
        </w:rPr>
        <w:t>.</w:t>
      </w:r>
    </w:p>
    <w:p w:rsidR="005327C2" w:rsidRPr="005327C2" w:rsidRDefault="007F50A8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Trestní zákoník ještě upřesňuje, že tyto osoby jsou úředními osobami,</w:t>
      </w:r>
      <w:r w:rsidR="005327C2" w:rsidRPr="005327C2">
        <w:rPr>
          <w:rFonts w:ascii="Times New Roman" w:hAnsi="Times New Roman"/>
          <w:sz w:val="24"/>
          <w:szCs w:val="24"/>
        </w:rPr>
        <w:tab/>
        <w:t>pokud plní úkoly státu nebo společnosti a používá při tom svěřené pra</w:t>
      </w:r>
      <w:r>
        <w:rPr>
          <w:rFonts w:ascii="Times New Roman" w:hAnsi="Times New Roman"/>
          <w:sz w:val="24"/>
          <w:szCs w:val="24"/>
        </w:rPr>
        <w:t xml:space="preserve">vomoci pro plnění těchto úkolů. </w:t>
      </w:r>
      <w:r w:rsidR="005327C2" w:rsidRPr="005327C2">
        <w:rPr>
          <w:rFonts w:ascii="Times New Roman" w:hAnsi="Times New Roman"/>
          <w:sz w:val="24"/>
          <w:szCs w:val="24"/>
        </w:rPr>
        <w:t>K trestní odpovědnosti a ochraně úřední osoby se podle jednotlivých ustanovení trestního zákona vyžaduje, aby trestný čin byl spáchán v souvislosti s její pravomocí a odpovědností.</w:t>
      </w:r>
    </w:p>
    <w:p w:rsidR="005327C2" w:rsidRDefault="00C358E0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osoba může být jak pachatelem trestného činu, tak obětí trestné činnosti v souvislosti s výkonem veřejné správy</w:t>
      </w:r>
      <w:r w:rsidR="007F4B48">
        <w:rPr>
          <w:rFonts w:ascii="Times New Roman" w:hAnsi="Times New Roman"/>
          <w:sz w:val="24"/>
          <w:szCs w:val="24"/>
        </w:rPr>
        <w:t>, např. u trestných činů</w:t>
      </w:r>
      <w:r w:rsidR="007F4B48" w:rsidRPr="007F4B48">
        <w:rPr>
          <w:rFonts w:ascii="Times New Roman" w:hAnsi="Times New Roman"/>
          <w:sz w:val="24"/>
          <w:szCs w:val="24"/>
        </w:rPr>
        <w:t xml:space="preserve"> proti výkonu pravomoci orgánu veřejné moci a úřední osoby</w:t>
      </w:r>
      <w:r w:rsidR="007F4B48">
        <w:rPr>
          <w:rFonts w:ascii="Times New Roman" w:hAnsi="Times New Roman"/>
          <w:sz w:val="24"/>
          <w:szCs w:val="24"/>
        </w:rPr>
        <w:t xml:space="preserve">. </w:t>
      </w:r>
    </w:p>
    <w:p w:rsidR="005327C2" w:rsidRDefault="005327C2" w:rsidP="007F4B48">
      <w:pPr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 </w:t>
      </w:r>
    </w:p>
    <w:p w:rsidR="0018592C" w:rsidRDefault="005327C2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592C" w:rsidRPr="0018592C">
        <w:rPr>
          <w:rFonts w:ascii="Times New Roman" w:hAnsi="Times New Roman"/>
          <w:sz w:val="24"/>
          <w:szCs w:val="24"/>
        </w:rPr>
        <w:t xml:space="preserve">. Vybrané skutkové podstaty trestního zákoníku se vztahem k veřejné správě </w:t>
      </w:r>
    </w:p>
    <w:p w:rsidR="005327C2" w:rsidRPr="00B027AA" w:rsidRDefault="005327C2" w:rsidP="007F4B48">
      <w:pPr>
        <w:jc w:val="both"/>
        <w:rPr>
          <w:rFonts w:ascii="Times New Roman" w:hAnsi="Times New Roman"/>
          <w:sz w:val="24"/>
          <w:szCs w:val="24"/>
        </w:rPr>
      </w:pPr>
      <w:r w:rsidRPr="007F4B48">
        <w:rPr>
          <w:rFonts w:ascii="Times New Roman" w:hAnsi="Times New Roman"/>
          <w:b/>
          <w:sz w:val="24"/>
          <w:szCs w:val="24"/>
        </w:rPr>
        <w:t>Skutkové podstaty</w:t>
      </w:r>
      <w:r w:rsidRPr="00B027AA">
        <w:rPr>
          <w:rFonts w:ascii="Times New Roman" w:hAnsi="Times New Roman"/>
          <w:sz w:val="24"/>
          <w:szCs w:val="24"/>
        </w:rPr>
        <w:t xml:space="preserve"> si lze představit jako šablony či modely, které se z hlediska typové nebezpečnosti trestného činu pro společnost třídí na základní skutkové podstaty, kvalifikované skutkové podstaty a privilegované skutkové podstaty</w:t>
      </w:r>
      <w:r w:rsidR="00C36BA6">
        <w:rPr>
          <w:rFonts w:ascii="Times New Roman" w:hAnsi="Times New Roman"/>
          <w:sz w:val="24"/>
          <w:szCs w:val="24"/>
        </w:rPr>
        <w:t xml:space="preserve">. </w:t>
      </w:r>
    </w:p>
    <w:p w:rsidR="005327C2" w:rsidRPr="00B027AA" w:rsidRDefault="005327C2" w:rsidP="007F4B48">
      <w:pPr>
        <w:jc w:val="both"/>
        <w:rPr>
          <w:rFonts w:ascii="Times New Roman" w:hAnsi="Times New Roman"/>
          <w:sz w:val="24"/>
          <w:szCs w:val="24"/>
        </w:rPr>
      </w:pPr>
      <w:r w:rsidRPr="00B027AA">
        <w:rPr>
          <w:rFonts w:ascii="Times New Roman" w:hAnsi="Times New Roman"/>
          <w:sz w:val="24"/>
          <w:szCs w:val="24"/>
        </w:rPr>
        <w:t>Struktura trestného činu je tvořena určitým způsobem uspořádanými prvky, z nichž se trestněprávní delikt skládá</w:t>
      </w:r>
      <w:r w:rsidR="00761F3F">
        <w:rPr>
          <w:rFonts w:ascii="Times New Roman" w:hAnsi="Times New Roman"/>
          <w:sz w:val="24"/>
          <w:szCs w:val="24"/>
        </w:rPr>
        <w:t>, tzv. znaky skutkové podstaty trestného činu</w:t>
      </w:r>
      <w:r w:rsidRPr="00B027AA">
        <w:rPr>
          <w:rFonts w:ascii="Times New Roman" w:hAnsi="Times New Roman"/>
          <w:sz w:val="24"/>
          <w:szCs w:val="24"/>
        </w:rPr>
        <w:t>. Těmito prvky jsou objekt (vztah či zájem na určitých hodnotách, např. zdraví, život, majetek), objektivní stránka (jednání, následek, příčinný vztah, místo, čas a způsob jednání), subjekt (fyzická osoba jako pachatel, určena věkem, příčetností), subjektivní stránka (zavinění, motiv, cíl pacha</w:t>
      </w:r>
      <w:r w:rsidR="00761F3F">
        <w:rPr>
          <w:rFonts w:ascii="Times New Roman" w:hAnsi="Times New Roman"/>
          <w:sz w:val="24"/>
          <w:szCs w:val="24"/>
        </w:rPr>
        <w:t>telova jednání).</w:t>
      </w:r>
    </w:p>
    <w:p w:rsidR="005327C2" w:rsidRDefault="005327C2" w:rsidP="007F4B48">
      <w:pPr>
        <w:jc w:val="both"/>
        <w:rPr>
          <w:rFonts w:ascii="Times New Roman" w:hAnsi="Times New Roman"/>
          <w:sz w:val="24"/>
          <w:szCs w:val="24"/>
        </w:rPr>
      </w:pPr>
      <w:r w:rsidRPr="00B027AA">
        <w:rPr>
          <w:rFonts w:ascii="Times New Roman" w:hAnsi="Times New Roman"/>
          <w:sz w:val="24"/>
          <w:szCs w:val="24"/>
        </w:rPr>
        <w:t xml:space="preserve">Z jednotlivých trestných činů, resp. skutkových podstat trestných činů, které mohou </w:t>
      </w:r>
      <w:r w:rsidR="00361531">
        <w:rPr>
          <w:rFonts w:ascii="Times New Roman" w:hAnsi="Times New Roman"/>
          <w:sz w:val="24"/>
          <w:szCs w:val="24"/>
        </w:rPr>
        <w:t>úřední osoby</w:t>
      </w:r>
      <w:r w:rsidRPr="00B027AA">
        <w:rPr>
          <w:rFonts w:ascii="Times New Roman" w:hAnsi="Times New Roman"/>
          <w:sz w:val="24"/>
          <w:szCs w:val="24"/>
        </w:rPr>
        <w:t xml:space="preserve"> svým protiprávním jednán</w:t>
      </w:r>
      <w:r w:rsidR="00707851">
        <w:rPr>
          <w:rFonts w:ascii="Times New Roman" w:hAnsi="Times New Roman"/>
          <w:sz w:val="24"/>
          <w:szCs w:val="24"/>
        </w:rPr>
        <w:t>ím naplnit, lze uvést zejména</w:t>
      </w:r>
      <w:r w:rsidR="00361531">
        <w:rPr>
          <w:rFonts w:ascii="Times New Roman" w:hAnsi="Times New Roman"/>
          <w:sz w:val="24"/>
          <w:szCs w:val="24"/>
        </w:rPr>
        <w:t xml:space="preserve"> ty, uvedené v </w:t>
      </w:r>
      <w:r w:rsidR="00361531" w:rsidRPr="00361531">
        <w:rPr>
          <w:rFonts w:ascii="Times New Roman" w:hAnsi="Times New Roman"/>
          <w:sz w:val="24"/>
          <w:szCs w:val="24"/>
        </w:rPr>
        <w:t>hlav</w:t>
      </w:r>
      <w:r w:rsidR="00361531">
        <w:rPr>
          <w:rFonts w:ascii="Times New Roman" w:hAnsi="Times New Roman"/>
          <w:sz w:val="24"/>
          <w:szCs w:val="24"/>
        </w:rPr>
        <w:t>ě</w:t>
      </w:r>
      <w:r w:rsidR="00361531" w:rsidRPr="00361531">
        <w:rPr>
          <w:rFonts w:ascii="Times New Roman" w:hAnsi="Times New Roman"/>
          <w:sz w:val="24"/>
          <w:szCs w:val="24"/>
        </w:rPr>
        <w:t xml:space="preserve"> </w:t>
      </w:r>
      <w:r w:rsidR="00361531">
        <w:rPr>
          <w:rFonts w:ascii="Times New Roman" w:hAnsi="Times New Roman"/>
          <w:sz w:val="24"/>
          <w:szCs w:val="24"/>
        </w:rPr>
        <w:t>X, T</w:t>
      </w:r>
      <w:r w:rsidR="00361531" w:rsidRPr="00361531">
        <w:rPr>
          <w:rFonts w:ascii="Times New Roman" w:hAnsi="Times New Roman"/>
          <w:sz w:val="24"/>
          <w:szCs w:val="24"/>
        </w:rPr>
        <w:t>restné činy proti pořádku ve věcech veřejných</w:t>
      </w:r>
      <w:r w:rsidR="007F4B48">
        <w:rPr>
          <w:rFonts w:ascii="Times New Roman" w:hAnsi="Times New Roman"/>
          <w:sz w:val="24"/>
          <w:szCs w:val="24"/>
        </w:rPr>
        <w:t xml:space="preserve">, díl 2 </w:t>
      </w:r>
      <w:r w:rsidR="007F4B48" w:rsidRPr="0085685E">
        <w:rPr>
          <w:rFonts w:ascii="Times New Roman" w:hAnsi="Times New Roman"/>
          <w:b/>
          <w:sz w:val="24"/>
          <w:szCs w:val="24"/>
        </w:rPr>
        <w:t>Trestné činy úředních osob</w:t>
      </w:r>
      <w:r w:rsidR="00361531" w:rsidRPr="0085685E">
        <w:rPr>
          <w:rFonts w:ascii="Times New Roman" w:hAnsi="Times New Roman"/>
          <w:b/>
          <w:sz w:val="24"/>
          <w:szCs w:val="24"/>
        </w:rPr>
        <w:t>:</w:t>
      </w:r>
      <w:r w:rsidR="00361531">
        <w:rPr>
          <w:rFonts w:ascii="Times New Roman" w:hAnsi="Times New Roman"/>
          <w:sz w:val="24"/>
          <w:szCs w:val="24"/>
        </w:rPr>
        <w:t xml:space="preserve"> </w:t>
      </w:r>
    </w:p>
    <w:p w:rsidR="00361531" w:rsidRDefault="00361531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Zneužití pravomoci úřední osoby (§ 329 trestního zákoníku).</w:t>
      </w:r>
    </w:p>
    <w:p w:rsidR="00361531" w:rsidRDefault="00361531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lastRenderedPageBreak/>
        <w:t>Maření úkolu úřední osoby z nedbalosti (§ 330 trestního zákoníku).</w:t>
      </w:r>
    </w:p>
    <w:p w:rsidR="00361531" w:rsidRPr="00C358E0" w:rsidRDefault="00361531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Přijetí úplatku (§ 331 trestního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8E0">
        <w:rPr>
          <w:rFonts w:ascii="Times New Roman" w:hAnsi="Times New Roman"/>
          <w:sz w:val="24"/>
          <w:szCs w:val="24"/>
        </w:rPr>
        <w:t>zákoníku).</w:t>
      </w:r>
    </w:p>
    <w:p w:rsidR="00361531" w:rsidRDefault="00361531" w:rsidP="007F4B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61531" w:rsidRDefault="00361531" w:rsidP="007F4B4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další skutkové podstaty trestných činů, kde úřední osoba vystupuje jako speciální pachatel, patří zejména trestné činy:</w:t>
      </w:r>
    </w:p>
    <w:p w:rsidR="00C358E0" w:rsidRPr="00707851" w:rsidRDefault="00C358E0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Mučení a jiné nelidské a kruté zacházení (§ 149 trestního</w:t>
      </w:r>
      <w:r w:rsidR="00707851">
        <w:rPr>
          <w:rFonts w:ascii="Times New Roman" w:hAnsi="Times New Roman"/>
          <w:sz w:val="24"/>
          <w:szCs w:val="24"/>
        </w:rPr>
        <w:t xml:space="preserve"> </w:t>
      </w:r>
      <w:r w:rsidRPr="00707851">
        <w:rPr>
          <w:rFonts w:ascii="Times New Roman" w:hAnsi="Times New Roman"/>
          <w:sz w:val="24"/>
          <w:szCs w:val="24"/>
        </w:rPr>
        <w:t>zákoníku).</w:t>
      </w:r>
    </w:p>
    <w:p w:rsidR="00C358E0" w:rsidRPr="00707851" w:rsidRDefault="00C358E0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Porušení tajemství dopravovaných zpráv (§ 182 trestního</w:t>
      </w:r>
      <w:r w:rsidR="00707851">
        <w:rPr>
          <w:rFonts w:ascii="Times New Roman" w:hAnsi="Times New Roman"/>
          <w:sz w:val="24"/>
          <w:szCs w:val="24"/>
        </w:rPr>
        <w:t xml:space="preserve"> </w:t>
      </w:r>
      <w:r w:rsidRPr="00707851">
        <w:rPr>
          <w:rFonts w:ascii="Times New Roman" w:hAnsi="Times New Roman"/>
          <w:sz w:val="24"/>
          <w:szCs w:val="24"/>
        </w:rPr>
        <w:t>zákoníku).</w:t>
      </w:r>
    </w:p>
    <w:p w:rsidR="00C358E0" w:rsidRPr="00707851" w:rsidRDefault="00C358E0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Pletichy v insolvenčním řízení (§ 226 trestního</w:t>
      </w:r>
      <w:r w:rsidR="00707851">
        <w:rPr>
          <w:rFonts w:ascii="Times New Roman" w:hAnsi="Times New Roman"/>
          <w:sz w:val="24"/>
          <w:szCs w:val="24"/>
        </w:rPr>
        <w:t xml:space="preserve"> </w:t>
      </w:r>
      <w:r w:rsidRPr="00707851">
        <w:rPr>
          <w:rFonts w:ascii="Times New Roman" w:hAnsi="Times New Roman"/>
          <w:sz w:val="24"/>
          <w:szCs w:val="24"/>
        </w:rPr>
        <w:t>zákoníku).</w:t>
      </w:r>
    </w:p>
    <w:p w:rsidR="00C358E0" w:rsidRPr="00707851" w:rsidRDefault="00C358E0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Zjednání výhody při zadání veřejné zakázky, při veřejné soutěži</w:t>
      </w:r>
      <w:r w:rsidR="00707851">
        <w:rPr>
          <w:rFonts w:ascii="Times New Roman" w:hAnsi="Times New Roman"/>
          <w:sz w:val="24"/>
          <w:szCs w:val="24"/>
        </w:rPr>
        <w:t xml:space="preserve"> </w:t>
      </w:r>
      <w:r w:rsidR="004557A3">
        <w:rPr>
          <w:rFonts w:ascii="Times New Roman" w:hAnsi="Times New Roman"/>
          <w:sz w:val="24"/>
          <w:szCs w:val="24"/>
        </w:rPr>
        <w:t>a veřejné dražbě (§ </w:t>
      </w:r>
      <w:r w:rsidRPr="00707851">
        <w:rPr>
          <w:rFonts w:ascii="Times New Roman" w:hAnsi="Times New Roman"/>
          <w:sz w:val="24"/>
          <w:szCs w:val="24"/>
        </w:rPr>
        <w:t>256 trestního zákoníku).</w:t>
      </w:r>
    </w:p>
    <w:p w:rsidR="00C358E0" w:rsidRPr="00C358E0" w:rsidRDefault="00C358E0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Pletichy při zadání veřejné zakázky a při veřejné soutěži (§ 257 trestního zákoníku).</w:t>
      </w:r>
    </w:p>
    <w:p w:rsidR="00C358E0" w:rsidRPr="00C358E0" w:rsidRDefault="00C358E0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Pletichy při veřejné dražbě (§ 258 trestního zákoníku).</w:t>
      </w:r>
    </w:p>
    <w:p w:rsidR="00361531" w:rsidRPr="00361531" w:rsidRDefault="00361531" w:rsidP="007F4B4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58E0">
        <w:rPr>
          <w:rFonts w:ascii="Times New Roman" w:hAnsi="Times New Roman"/>
          <w:sz w:val="24"/>
          <w:szCs w:val="24"/>
        </w:rPr>
        <w:t>Osvobození vězně (§ 338 trestního zákoníku).</w:t>
      </w:r>
    </w:p>
    <w:p w:rsidR="007F4B48" w:rsidRDefault="00361531" w:rsidP="007F4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souvislosti s úředními osobami, resp. správními orgány jako oběťmi trestné činnosti lze uvést např. </w:t>
      </w:r>
      <w:r w:rsidR="007F4B48" w:rsidRPr="0085685E">
        <w:rPr>
          <w:rFonts w:ascii="Times New Roman" w:hAnsi="Times New Roman"/>
          <w:b/>
          <w:sz w:val="24"/>
          <w:szCs w:val="24"/>
        </w:rPr>
        <w:t>T</w:t>
      </w:r>
      <w:r w:rsidRPr="0085685E">
        <w:rPr>
          <w:rFonts w:ascii="Times New Roman" w:hAnsi="Times New Roman"/>
          <w:b/>
          <w:sz w:val="24"/>
          <w:szCs w:val="24"/>
        </w:rPr>
        <w:t>restné činy proti výkonu pravomoci orgánu veřejné moci a úřední osoby</w:t>
      </w:r>
      <w:r w:rsidR="007F4B48" w:rsidRPr="007F4B48">
        <w:rPr>
          <w:rFonts w:ascii="Times New Roman" w:hAnsi="Times New Roman"/>
          <w:sz w:val="24"/>
          <w:szCs w:val="24"/>
        </w:rPr>
        <w:t xml:space="preserve"> </w:t>
      </w:r>
      <w:r w:rsidR="007F4B48">
        <w:rPr>
          <w:rFonts w:ascii="Times New Roman" w:hAnsi="Times New Roman"/>
          <w:sz w:val="24"/>
          <w:szCs w:val="24"/>
        </w:rPr>
        <w:t>(hlava X, díl 1)</w:t>
      </w:r>
      <w:r>
        <w:rPr>
          <w:rFonts w:ascii="Times New Roman" w:hAnsi="Times New Roman"/>
          <w:sz w:val="24"/>
          <w:szCs w:val="24"/>
        </w:rPr>
        <w:t>, konkrétně</w:t>
      </w:r>
      <w:r w:rsidR="007F4B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F4B48" w:rsidRPr="007F4B48" w:rsidRDefault="00361531" w:rsidP="007F4B4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F4B48">
        <w:rPr>
          <w:rFonts w:ascii="Times New Roman" w:hAnsi="Times New Roman"/>
          <w:sz w:val="24"/>
          <w:szCs w:val="24"/>
        </w:rPr>
        <w:t xml:space="preserve">Násilí proti orgánu veřejné moci </w:t>
      </w:r>
      <w:r w:rsidR="007F4B48" w:rsidRPr="007F4B48">
        <w:rPr>
          <w:rFonts w:ascii="Times New Roman" w:hAnsi="Times New Roman"/>
          <w:sz w:val="24"/>
          <w:szCs w:val="24"/>
        </w:rPr>
        <w:t>(</w:t>
      </w:r>
      <w:r w:rsidRPr="007F4B48">
        <w:rPr>
          <w:rFonts w:ascii="Times New Roman" w:hAnsi="Times New Roman"/>
          <w:sz w:val="24"/>
          <w:szCs w:val="24"/>
        </w:rPr>
        <w:t>§ 323</w:t>
      </w:r>
      <w:r w:rsidR="007F4B48" w:rsidRPr="007F4B48">
        <w:rPr>
          <w:rFonts w:ascii="Times New Roman" w:hAnsi="Times New Roman"/>
          <w:sz w:val="24"/>
          <w:szCs w:val="24"/>
        </w:rPr>
        <w:t xml:space="preserve"> trestního zákoníku).</w:t>
      </w:r>
    </w:p>
    <w:p w:rsidR="007F4B48" w:rsidRPr="007F4B48" w:rsidRDefault="007F4B48" w:rsidP="007F4B4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F4B48">
        <w:rPr>
          <w:rFonts w:ascii="Times New Roman" w:hAnsi="Times New Roman"/>
          <w:sz w:val="24"/>
          <w:szCs w:val="24"/>
        </w:rPr>
        <w:t>Vyhrožování s cílem působit na orgán veřejné moci (§ 324 trestního zákoníku).</w:t>
      </w:r>
    </w:p>
    <w:p w:rsidR="007F4B48" w:rsidRPr="007F4B48" w:rsidRDefault="007F4B48" w:rsidP="007F4B4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F4B48">
        <w:rPr>
          <w:rFonts w:ascii="Times New Roman" w:hAnsi="Times New Roman"/>
          <w:sz w:val="24"/>
          <w:szCs w:val="24"/>
        </w:rPr>
        <w:t>Násilí proti úřední osobě (§ 325 trestního zákoníku).</w:t>
      </w:r>
    </w:p>
    <w:p w:rsidR="00B027AA" w:rsidRPr="007F4B48" w:rsidRDefault="007F4B48" w:rsidP="007F4B4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F4B48">
        <w:rPr>
          <w:rFonts w:ascii="Times New Roman" w:hAnsi="Times New Roman"/>
          <w:sz w:val="24"/>
          <w:szCs w:val="24"/>
        </w:rPr>
        <w:t>Vyhrožování s cílem působit na úřední osobu (§ 326 trestního zákoníku).</w:t>
      </w:r>
    </w:p>
    <w:p w:rsidR="00B027AA" w:rsidRPr="0018592C" w:rsidRDefault="007F4B48" w:rsidP="001859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Nadto může být úřední osoba obětí trestných činů klasifikovaných i podle jiných skutkových podstat (např. </w:t>
      </w:r>
      <w:r w:rsidR="009673EF">
        <w:rPr>
          <w:rFonts w:ascii="Times New Roman" w:hAnsi="Times New Roman"/>
          <w:sz w:val="24"/>
          <w:szCs w:val="24"/>
        </w:rPr>
        <w:t xml:space="preserve">§ 140 trestního zákoníku – </w:t>
      </w:r>
      <w:r>
        <w:rPr>
          <w:rFonts w:ascii="Times New Roman" w:hAnsi="Times New Roman"/>
          <w:sz w:val="24"/>
          <w:szCs w:val="24"/>
        </w:rPr>
        <w:t>vražda</w:t>
      </w:r>
      <w:r w:rsidR="009673EF">
        <w:rPr>
          <w:rFonts w:ascii="Times New Roman" w:hAnsi="Times New Roman"/>
          <w:sz w:val="24"/>
          <w:szCs w:val="24"/>
        </w:rPr>
        <w:t xml:space="preserve">). V těchto případech je spáchání trestného činu na úřední osobě naplněním tzv. kvalifikované skutkové podstaty trestného činu („podle vyššího odstavce“) a je přísněji trestáno. </w:t>
      </w:r>
    </w:p>
    <w:p w:rsidR="0085685E" w:rsidRDefault="0085685E" w:rsidP="0018592C">
      <w:pPr>
        <w:jc w:val="both"/>
        <w:rPr>
          <w:rFonts w:ascii="Times New Roman" w:hAnsi="Times New Roman"/>
          <w:sz w:val="24"/>
          <w:szCs w:val="24"/>
        </w:rPr>
      </w:pPr>
    </w:p>
    <w:p w:rsidR="000843CC" w:rsidRDefault="0018592C" w:rsidP="0018592C">
      <w:pPr>
        <w:jc w:val="both"/>
        <w:rPr>
          <w:rFonts w:ascii="Times New Roman" w:hAnsi="Times New Roman"/>
          <w:sz w:val="24"/>
          <w:szCs w:val="24"/>
        </w:rPr>
      </w:pPr>
      <w:r w:rsidRPr="0018592C">
        <w:rPr>
          <w:rFonts w:ascii="Times New Roman" w:hAnsi="Times New Roman"/>
          <w:sz w:val="24"/>
          <w:szCs w:val="24"/>
        </w:rPr>
        <w:t>Závěr</w:t>
      </w:r>
    </w:p>
    <w:p w:rsidR="009673EF" w:rsidRPr="009F0088" w:rsidRDefault="009673EF" w:rsidP="0018592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V souvislosti s výkonem veřejné správy upravuje trestní zákoník základy trestní odpovědnosti a vymezuje pojem úřední osoba, kdy úřední osoba může vystupovat jako potenciální pachatel, ale i oběť trestné činnosti. </w:t>
      </w:r>
      <w:bookmarkEnd w:id="0"/>
    </w:p>
    <w:sectPr w:rsidR="009673EF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2E" w:rsidRDefault="0025402E" w:rsidP="00AD5A85">
      <w:pPr>
        <w:spacing w:after="0" w:line="240" w:lineRule="auto"/>
      </w:pPr>
      <w:r>
        <w:separator/>
      </w:r>
    </w:p>
  </w:endnote>
  <w:endnote w:type="continuationSeparator" w:id="0">
    <w:p w:rsidR="0025402E" w:rsidRDefault="0025402E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2540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2540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2E" w:rsidRDefault="0025402E" w:rsidP="00AD5A85">
      <w:pPr>
        <w:spacing w:after="0" w:line="240" w:lineRule="auto"/>
      </w:pPr>
      <w:r>
        <w:separator/>
      </w:r>
    </w:p>
  </w:footnote>
  <w:footnote w:type="continuationSeparator" w:id="0">
    <w:p w:rsidR="0025402E" w:rsidRDefault="0025402E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8E2"/>
    <w:multiLevelType w:val="hybridMultilevel"/>
    <w:tmpl w:val="C60EB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32E8"/>
    <w:multiLevelType w:val="hybridMultilevel"/>
    <w:tmpl w:val="5060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B8E"/>
    <w:multiLevelType w:val="hybridMultilevel"/>
    <w:tmpl w:val="A952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25084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761B"/>
    <w:multiLevelType w:val="hybridMultilevel"/>
    <w:tmpl w:val="54300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34A14"/>
    <w:multiLevelType w:val="hybridMultilevel"/>
    <w:tmpl w:val="5A84E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1EC6"/>
    <w:multiLevelType w:val="hybridMultilevel"/>
    <w:tmpl w:val="AAE22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843CC"/>
    <w:rsid w:val="00093133"/>
    <w:rsid w:val="000A76D4"/>
    <w:rsid w:val="000B055C"/>
    <w:rsid w:val="000E2137"/>
    <w:rsid w:val="000E382D"/>
    <w:rsid w:val="0011656E"/>
    <w:rsid w:val="0013130E"/>
    <w:rsid w:val="001331A4"/>
    <w:rsid w:val="001414A4"/>
    <w:rsid w:val="001535B9"/>
    <w:rsid w:val="00163013"/>
    <w:rsid w:val="00171349"/>
    <w:rsid w:val="0017329B"/>
    <w:rsid w:val="0018592C"/>
    <w:rsid w:val="001A5013"/>
    <w:rsid w:val="001B7694"/>
    <w:rsid w:val="001C3FBD"/>
    <w:rsid w:val="001D56C7"/>
    <w:rsid w:val="001E68DB"/>
    <w:rsid w:val="001F57AF"/>
    <w:rsid w:val="00202C0E"/>
    <w:rsid w:val="00204A45"/>
    <w:rsid w:val="00213505"/>
    <w:rsid w:val="002245DF"/>
    <w:rsid w:val="00225FE1"/>
    <w:rsid w:val="002368D5"/>
    <w:rsid w:val="00236B33"/>
    <w:rsid w:val="00240667"/>
    <w:rsid w:val="0025402E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14CC9"/>
    <w:rsid w:val="003151E3"/>
    <w:rsid w:val="00335A4B"/>
    <w:rsid w:val="00361531"/>
    <w:rsid w:val="00396497"/>
    <w:rsid w:val="003A0D5A"/>
    <w:rsid w:val="003A1A04"/>
    <w:rsid w:val="003B05C9"/>
    <w:rsid w:val="003D0144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557A3"/>
    <w:rsid w:val="004733EC"/>
    <w:rsid w:val="00483D68"/>
    <w:rsid w:val="004975A3"/>
    <w:rsid w:val="004C481B"/>
    <w:rsid w:val="004E5366"/>
    <w:rsid w:val="004F3E5A"/>
    <w:rsid w:val="00511C20"/>
    <w:rsid w:val="0051289B"/>
    <w:rsid w:val="005327C2"/>
    <w:rsid w:val="0053334E"/>
    <w:rsid w:val="005723E0"/>
    <w:rsid w:val="0059235B"/>
    <w:rsid w:val="005B263D"/>
    <w:rsid w:val="005D1540"/>
    <w:rsid w:val="005D39F8"/>
    <w:rsid w:val="005D5AAD"/>
    <w:rsid w:val="005D6E7F"/>
    <w:rsid w:val="005D732C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A02F6"/>
    <w:rsid w:val="006A3AF4"/>
    <w:rsid w:val="006C1561"/>
    <w:rsid w:val="006C4B07"/>
    <w:rsid w:val="006F715C"/>
    <w:rsid w:val="00707851"/>
    <w:rsid w:val="00717211"/>
    <w:rsid w:val="00723901"/>
    <w:rsid w:val="00730D20"/>
    <w:rsid w:val="00735B1D"/>
    <w:rsid w:val="007561D4"/>
    <w:rsid w:val="00761F3F"/>
    <w:rsid w:val="007935C0"/>
    <w:rsid w:val="007B454A"/>
    <w:rsid w:val="007D7EA6"/>
    <w:rsid w:val="007E0B84"/>
    <w:rsid w:val="007E5795"/>
    <w:rsid w:val="007F4B48"/>
    <w:rsid w:val="007F50A8"/>
    <w:rsid w:val="008179D7"/>
    <w:rsid w:val="00832BDB"/>
    <w:rsid w:val="00842745"/>
    <w:rsid w:val="0085685E"/>
    <w:rsid w:val="00890237"/>
    <w:rsid w:val="008A434F"/>
    <w:rsid w:val="008B2B68"/>
    <w:rsid w:val="008B30DB"/>
    <w:rsid w:val="008B752C"/>
    <w:rsid w:val="008C0D8D"/>
    <w:rsid w:val="008C1681"/>
    <w:rsid w:val="008E02E4"/>
    <w:rsid w:val="008F0A7C"/>
    <w:rsid w:val="00902216"/>
    <w:rsid w:val="0091449A"/>
    <w:rsid w:val="00940D9C"/>
    <w:rsid w:val="009437E2"/>
    <w:rsid w:val="00952137"/>
    <w:rsid w:val="00955FDF"/>
    <w:rsid w:val="00961D1B"/>
    <w:rsid w:val="009673EF"/>
    <w:rsid w:val="00994AD5"/>
    <w:rsid w:val="009C39A2"/>
    <w:rsid w:val="009C3BBA"/>
    <w:rsid w:val="009D42EB"/>
    <w:rsid w:val="009E162B"/>
    <w:rsid w:val="009F0088"/>
    <w:rsid w:val="009F5A04"/>
    <w:rsid w:val="00A01A5E"/>
    <w:rsid w:val="00A11ADC"/>
    <w:rsid w:val="00A12769"/>
    <w:rsid w:val="00A35165"/>
    <w:rsid w:val="00A41C6D"/>
    <w:rsid w:val="00A47F6D"/>
    <w:rsid w:val="00A545DF"/>
    <w:rsid w:val="00A63C57"/>
    <w:rsid w:val="00A90521"/>
    <w:rsid w:val="00A93FE2"/>
    <w:rsid w:val="00A97309"/>
    <w:rsid w:val="00AA26FB"/>
    <w:rsid w:val="00AD5A85"/>
    <w:rsid w:val="00B027AA"/>
    <w:rsid w:val="00B03719"/>
    <w:rsid w:val="00B043FB"/>
    <w:rsid w:val="00B26968"/>
    <w:rsid w:val="00B5019E"/>
    <w:rsid w:val="00B54217"/>
    <w:rsid w:val="00B63E16"/>
    <w:rsid w:val="00B76382"/>
    <w:rsid w:val="00B96748"/>
    <w:rsid w:val="00BD3BD8"/>
    <w:rsid w:val="00BD7CBE"/>
    <w:rsid w:val="00C22043"/>
    <w:rsid w:val="00C33100"/>
    <w:rsid w:val="00C358E0"/>
    <w:rsid w:val="00C36BA6"/>
    <w:rsid w:val="00C43A1E"/>
    <w:rsid w:val="00C47EE0"/>
    <w:rsid w:val="00C54419"/>
    <w:rsid w:val="00C700EA"/>
    <w:rsid w:val="00C857FA"/>
    <w:rsid w:val="00C922B4"/>
    <w:rsid w:val="00C93ED4"/>
    <w:rsid w:val="00CA3AB5"/>
    <w:rsid w:val="00CC5479"/>
    <w:rsid w:val="00CD3BBD"/>
    <w:rsid w:val="00D14BEC"/>
    <w:rsid w:val="00D67DB2"/>
    <w:rsid w:val="00D939F4"/>
    <w:rsid w:val="00DA502C"/>
    <w:rsid w:val="00DA7ABB"/>
    <w:rsid w:val="00DB5EED"/>
    <w:rsid w:val="00DB64A5"/>
    <w:rsid w:val="00DE11D1"/>
    <w:rsid w:val="00DE174A"/>
    <w:rsid w:val="00DE33FB"/>
    <w:rsid w:val="00E115CD"/>
    <w:rsid w:val="00E23ECE"/>
    <w:rsid w:val="00E51802"/>
    <w:rsid w:val="00E53CAB"/>
    <w:rsid w:val="00E56AB3"/>
    <w:rsid w:val="00E57181"/>
    <w:rsid w:val="00E73084"/>
    <w:rsid w:val="00E8263B"/>
    <w:rsid w:val="00EA77BA"/>
    <w:rsid w:val="00EB1FFB"/>
    <w:rsid w:val="00EB7AA0"/>
    <w:rsid w:val="00EF05CA"/>
    <w:rsid w:val="00EF3115"/>
    <w:rsid w:val="00F16185"/>
    <w:rsid w:val="00F5257D"/>
    <w:rsid w:val="00F75A80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D7E88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D93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39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D93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39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14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38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979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49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574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28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215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161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954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1226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12</cp:revision>
  <dcterms:created xsi:type="dcterms:W3CDTF">2018-07-24T09:18:00Z</dcterms:created>
  <dcterms:modified xsi:type="dcterms:W3CDTF">2018-07-24T11:54:00Z</dcterms:modified>
</cp:coreProperties>
</file>