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5C" w:rsidRPr="008F6E1E" w:rsidRDefault="006B3C5C" w:rsidP="00AD1D4A">
      <w:pPr>
        <w:pStyle w:val="Nadpis2"/>
        <w:numPr>
          <w:ilvl w:val="0"/>
          <w:numId w:val="0"/>
        </w:numPr>
        <w:spacing w:before="0"/>
        <w:jc w:val="center"/>
        <w:rPr>
          <w:sz w:val="32"/>
          <w:szCs w:val="32"/>
        </w:rPr>
      </w:pPr>
      <w:bookmarkStart w:id="0" w:name="_Toc427302535"/>
      <w:bookmarkStart w:id="1" w:name="_Toc518453389"/>
      <w:r w:rsidRPr="008F6E1E">
        <w:rPr>
          <w:sz w:val="32"/>
          <w:szCs w:val="32"/>
        </w:rPr>
        <w:t>Základy teorie práva</w:t>
      </w:r>
      <w:r w:rsidR="00B83116">
        <w:rPr>
          <w:sz w:val="32"/>
          <w:szCs w:val="32"/>
        </w:rPr>
        <w:t xml:space="preserve"> II.</w:t>
      </w:r>
    </w:p>
    <w:p w:rsidR="006B3C5C" w:rsidRDefault="00E434AE" w:rsidP="0077243D">
      <w:pPr>
        <w:pStyle w:val="Nadpis2"/>
        <w:numPr>
          <w:ilvl w:val="0"/>
          <w:numId w:val="0"/>
        </w:numPr>
        <w:ind w:left="567"/>
      </w:pPr>
      <w:r>
        <w:t>Témata</w:t>
      </w:r>
      <w:r w:rsidR="008F6E1E">
        <w:t xml:space="preserve"> a rozsah</w:t>
      </w:r>
    </w:p>
    <w:p w:rsidR="008F6E1E" w:rsidRPr="001644F8" w:rsidRDefault="00B83116" w:rsidP="00AD1D4A">
      <w:pPr>
        <w:numPr>
          <w:ilvl w:val="0"/>
          <w:numId w:val="8"/>
        </w:numPr>
        <w:spacing w:after="0" w:line="360" w:lineRule="auto"/>
        <w:rPr>
          <w:sz w:val="24"/>
          <w:szCs w:val="24"/>
          <w:lang w:eastAsia="cs-CZ"/>
        </w:rPr>
      </w:pPr>
      <w:r w:rsidRPr="001644F8">
        <w:rPr>
          <w:sz w:val="24"/>
          <w:szCs w:val="24"/>
          <w:lang w:eastAsia="cs-CZ"/>
        </w:rPr>
        <w:t>Právní normy, realizace práva, právní vztahy</w:t>
      </w:r>
      <w:r w:rsidR="00F907E0">
        <w:rPr>
          <w:sz w:val="24"/>
          <w:szCs w:val="24"/>
          <w:lang w:eastAsia="cs-CZ"/>
        </w:rPr>
        <w:t>, aplikace práva.</w:t>
      </w:r>
      <w:bookmarkStart w:id="2" w:name="_GoBack"/>
      <w:bookmarkEnd w:id="2"/>
      <w:r w:rsidRPr="001644F8">
        <w:rPr>
          <w:sz w:val="24"/>
          <w:szCs w:val="24"/>
          <w:lang w:eastAsia="cs-CZ"/>
        </w:rPr>
        <w:t xml:space="preserve"> </w:t>
      </w:r>
      <w:r w:rsidR="008F6E1E" w:rsidRPr="001644F8">
        <w:rPr>
          <w:sz w:val="24"/>
          <w:szCs w:val="24"/>
          <w:lang w:eastAsia="cs-CZ"/>
        </w:rPr>
        <w:t>(2p + 2c)</w:t>
      </w:r>
    </w:p>
    <w:p w:rsidR="00AD1D4A" w:rsidRPr="008F6E1E" w:rsidRDefault="00AD1D4A" w:rsidP="00AD1D4A">
      <w:pPr>
        <w:spacing w:after="0" w:line="360" w:lineRule="auto"/>
        <w:ind w:left="360"/>
        <w:rPr>
          <w:lang w:eastAsia="cs-CZ"/>
        </w:rPr>
      </w:pPr>
    </w:p>
    <w:p w:rsidR="006B3C5C" w:rsidRPr="000220C3" w:rsidRDefault="006B3C5C" w:rsidP="00AD1D4A">
      <w:pPr>
        <w:pStyle w:val="Nadpis2"/>
        <w:numPr>
          <w:ilvl w:val="0"/>
          <w:numId w:val="0"/>
        </w:numPr>
        <w:spacing w:before="0"/>
        <w:ind w:left="567"/>
      </w:pPr>
      <w:r w:rsidRPr="000220C3">
        <w:t>Kontrolní otázky</w:t>
      </w:r>
      <w:bookmarkEnd w:id="0"/>
      <w:bookmarkEnd w:id="1"/>
    </w:p>
    <w:p w:rsidR="006B3C5C" w:rsidRPr="001644F8" w:rsidRDefault="006B3C5C" w:rsidP="00AD1D4A">
      <w:pPr>
        <w:numPr>
          <w:ilvl w:val="0"/>
          <w:numId w:val="5"/>
        </w:numPr>
        <w:spacing w:after="0" w:line="360" w:lineRule="auto"/>
        <w:jc w:val="both"/>
        <w:rPr>
          <w:rFonts w:cs="Arial"/>
          <w:bCs/>
          <w:sz w:val="24"/>
          <w:szCs w:val="24"/>
        </w:rPr>
      </w:pPr>
      <w:r w:rsidRPr="001644F8">
        <w:rPr>
          <w:rFonts w:cs="Arial"/>
          <w:sz w:val="24"/>
          <w:szCs w:val="24"/>
        </w:rPr>
        <w:t>Vymezte právní normu a charakterizujte její působnost.</w:t>
      </w:r>
    </w:p>
    <w:p w:rsidR="006B3C5C" w:rsidRPr="001644F8" w:rsidRDefault="006B3C5C" w:rsidP="001644F8">
      <w:pPr>
        <w:numPr>
          <w:ilvl w:val="0"/>
          <w:numId w:val="5"/>
        </w:numPr>
        <w:spacing w:after="0" w:line="360" w:lineRule="auto"/>
        <w:ind w:left="714" w:hanging="357"/>
        <w:jc w:val="both"/>
        <w:rPr>
          <w:rFonts w:cs="Arial"/>
          <w:bCs/>
          <w:sz w:val="24"/>
          <w:szCs w:val="24"/>
        </w:rPr>
      </w:pPr>
      <w:r w:rsidRPr="001644F8">
        <w:rPr>
          <w:rFonts w:cs="Arial"/>
          <w:bCs/>
          <w:sz w:val="24"/>
          <w:szCs w:val="24"/>
        </w:rPr>
        <w:t>Vysvětlete pojem interpretace práva, zpřehledněte jednotlivé druhy interpretace práva.</w:t>
      </w:r>
    </w:p>
    <w:p w:rsidR="006B3C5C" w:rsidRPr="001644F8" w:rsidRDefault="006B3C5C" w:rsidP="00AD1D4A">
      <w:pPr>
        <w:numPr>
          <w:ilvl w:val="0"/>
          <w:numId w:val="5"/>
        </w:numPr>
        <w:spacing w:after="0" w:line="360" w:lineRule="auto"/>
        <w:jc w:val="both"/>
        <w:rPr>
          <w:rFonts w:cs="Arial"/>
          <w:bCs/>
          <w:sz w:val="24"/>
          <w:szCs w:val="24"/>
        </w:rPr>
      </w:pPr>
      <w:r w:rsidRPr="001644F8">
        <w:rPr>
          <w:rFonts w:cs="Arial"/>
          <w:bCs/>
          <w:sz w:val="24"/>
          <w:szCs w:val="24"/>
        </w:rPr>
        <w:t>Charakterizujte jednotlivé formy realizace práva.</w:t>
      </w:r>
    </w:p>
    <w:p w:rsidR="006B3C5C" w:rsidRPr="001644F8" w:rsidRDefault="006B3C5C" w:rsidP="00AD1D4A">
      <w:pPr>
        <w:numPr>
          <w:ilvl w:val="0"/>
          <w:numId w:val="5"/>
        </w:numPr>
        <w:spacing w:after="0" w:line="360" w:lineRule="auto"/>
        <w:jc w:val="both"/>
        <w:rPr>
          <w:rFonts w:cs="Arial"/>
          <w:bCs/>
          <w:sz w:val="24"/>
          <w:szCs w:val="24"/>
        </w:rPr>
      </w:pPr>
      <w:r w:rsidRPr="001644F8">
        <w:rPr>
          <w:rFonts w:cs="Arial"/>
          <w:bCs/>
          <w:sz w:val="24"/>
          <w:szCs w:val="24"/>
        </w:rPr>
        <w:t>Vysvětlete pojem právní vztah a vymezte prvky právního vztahu.</w:t>
      </w:r>
    </w:p>
    <w:p w:rsidR="006B3C5C" w:rsidRPr="001644F8" w:rsidRDefault="006B3C5C" w:rsidP="00AD1D4A">
      <w:pPr>
        <w:numPr>
          <w:ilvl w:val="0"/>
          <w:numId w:val="5"/>
        </w:numPr>
        <w:spacing w:after="0" w:line="360" w:lineRule="auto"/>
        <w:jc w:val="both"/>
        <w:rPr>
          <w:rFonts w:cs="Arial"/>
          <w:bCs/>
          <w:sz w:val="24"/>
          <w:szCs w:val="24"/>
        </w:rPr>
      </w:pPr>
      <w:r w:rsidRPr="001644F8">
        <w:rPr>
          <w:rFonts w:cs="Arial"/>
          <w:bCs/>
          <w:sz w:val="24"/>
          <w:szCs w:val="24"/>
        </w:rPr>
        <w:t>Zpřehledněte formy aplikace práva.</w:t>
      </w:r>
    </w:p>
    <w:p w:rsidR="00AD1D4A" w:rsidRPr="000220C3" w:rsidRDefault="00AD1D4A" w:rsidP="00AD1D4A">
      <w:pPr>
        <w:spacing w:after="0" w:line="360" w:lineRule="auto"/>
        <w:ind w:left="360"/>
        <w:jc w:val="both"/>
        <w:rPr>
          <w:rFonts w:cs="Arial"/>
          <w:bCs/>
        </w:rPr>
      </w:pPr>
    </w:p>
    <w:p w:rsidR="006B3C5C" w:rsidRPr="00E434AE" w:rsidRDefault="00E434AE" w:rsidP="00AD1D4A">
      <w:pPr>
        <w:pStyle w:val="Nadpis2"/>
        <w:numPr>
          <w:ilvl w:val="0"/>
          <w:numId w:val="0"/>
        </w:numPr>
        <w:spacing w:before="0"/>
        <w:ind w:left="567"/>
      </w:pPr>
      <w:bookmarkStart w:id="3" w:name="_Toc518453390"/>
      <w:r>
        <w:t>Rozšiřující l</w:t>
      </w:r>
      <w:r w:rsidR="006B3C5C" w:rsidRPr="000220C3">
        <w:t>iteratura</w:t>
      </w:r>
      <w:bookmarkEnd w:id="3"/>
    </w:p>
    <w:p w:rsidR="006B3C5C" w:rsidRPr="001644F8" w:rsidRDefault="006B3C5C" w:rsidP="00AD1D4A">
      <w:pPr>
        <w:pStyle w:val="Odstavecseseznamem"/>
        <w:numPr>
          <w:ilvl w:val="0"/>
          <w:numId w:val="6"/>
        </w:numPr>
        <w:spacing w:after="0" w:line="360" w:lineRule="auto"/>
        <w:jc w:val="both"/>
        <w:rPr>
          <w:rFonts w:cs="Arial"/>
          <w:bCs/>
          <w:sz w:val="24"/>
          <w:szCs w:val="24"/>
        </w:rPr>
      </w:pPr>
      <w:r w:rsidRPr="001644F8">
        <w:rPr>
          <w:rFonts w:cs="Arial"/>
          <w:bCs/>
          <w:sz w:val="24"/>
          <w:szCs w:val="24"/>
        </w:rPr>
        <w:t xml:space="preserve">GERLOCH, Aleš, 2013. </w:t>
      </w:r>
      <w:r w:rsidRPr="001644F8">
        <w:rPr>
          <w:rFonts w:cs="Arial"/>
          <w:bCs/>
          <w:i/>
          <w:sz w:val="24"/>
          <w:szCs w:val="24"/>
        </w:rPr>
        <w:t>Teorie práva.</w:t>
      </w:r>
      <w:r w:rsidRPr="001644F8">
        <w:rPr>
          <w:rFonts w:cs="Arial"/>
          <w:bCs/>
          <w:sz w:val="24"/>
          <w:szCs w:val="24"/>
        </w:rPr>
        <w:t xml:space="preserve"> 6., aktualiz. vyd. Plzeň: Vydavatelství a nakladatelství Aleš Čeněk, 310 s. ISBN 978-80-7380-454-1.</w:t>
      </w:r>
    </w:p>
    <w:p w:rsidR="006B3C5C" w:rsidRPr="001644F8" w:rsidRDefault="006B3C5C" w:rsidP="00AD1D4A">
      <w:pPr>
        <w:pStyle w:val="Odstavecseseznamem"/>
        <w:numPr>
          <w:ilvl w:val="0"/>
          <w:numId w:val="6"/>
        </w:numPr>
        <w:spacing w:after="0" w:line="360" w:lineRule="auto"/>
        <w:jc w:val="both"/>
        <w:rPr>
          <w:rFonts w:cs="Arial"/>
          <w:bCs/>
          <w:sz w:val="24"/>
          <w:szCs w:val="24"/>
        </w:rPr>
      </w:pPr>
      <w:r w:rsidRPr="001644F8">
        <w:rPr>
          <w:rFonts w:cs="Arial"/>
          <w:bCs/>
          <w:sz w:val="24"/>
          <w:szCs w:val="24"/>
        </w:rPr>
        <w:t xml:space="preserve">GERLOCH, Aleš, 2008. </w:t>
      </w:r>
      <w:r w:rsidRPr="001644F8">
        <w:rPr>
          <w:rFonts w:cs="Arial"/>
          <w:bCs/>
          <w:i/>
          <w:sz w:val="24"/>
          <w:szCs w:val="24"/>
        </w:rPr>
        <w:t>Teorie a praxe tvorby práva.</w:t>
      </w:r>
      <w:r w:rsidRPr="001644F8">
        <w:rPr>
          <w:rFonts w:cs="Arial"/>
          <w:bCs/>
          <w:sz w:val="24"/>
          <w:szCs w:val="24"/>
        </w:rPr>
        <w:t xml:space="preserve"> Praha: ASPI, 422 s. Právní monografie (ASPI). ISBN 978-80-7357-362-1. </w:t>
      </w:r>
    </w:p>
    <w:p w:rsidR="006B3C5C" w:rsidRPr="001644F8" w:rsidRDefault="006B3C5C" w:rsidP="00AD1D4A">
      <w:pPr>
        <w:pStyle w:val="Odstavecseseznamem"/>
        <w:numPr>
          <w:ilvl w:val="0"/>
          <w:numId w:val="6"/>
        </w:numPr>
        <w:spacing w:after="0" w:line="360" w:lineRule="auto"/>
        <w:jc w:val="both"/>
        <w:rPr>
          <w:rFonts w:cs="Arial"/>
          <w:bCs/>
          <w:sz w:val="24"/>
          <w:szCs w:val="24"/>
        </w:rPr>
      </w:pPr>
      <w:r w:rsidRPr="001644F8">
        <w:rPr>
          <w:rFonts w:cs="Arial"/>
          <w:bCs/>
          <w:sz w:val="24"/>
          <w:szCs w:val="24"/>
        </w:rPr>
        <w:t xml:space="preserve">HARVÁNEK, Jaromír, 2008. </w:t>
      </w:r>
      <w:r w:rsidRPr="001644F8">
        <w:rPr>
          <w:rFonts w:cs="Arial"/>
          <w:bCs/>
          <w:i/>
          <w:sz w:val="24"/>
          <w:szCs w:val="24"/>
        </w:rPr>
        <w:t>Teorie práva.</w:t>
      </w:r>
      <w:r w:rsidRPr="001644F8">
        <w:rPr>
          <w:rFonts w:cs="Arial"/>
          <w:bCs/>
          <w:sz w:val="24"/>
          <w:szCs w:val="24"/>
        </w:rPr>
        <w:t xml:space="preserve"> Plzeň: Vydavatelství a nakladatelství Aleš Čeněk, 501 s. ISBN 978-80-7380-104-5.</w:t>
      </w:r>
    </w:p>
    <w:p w:rsidR="00933418" w:rsidRDefault="006B3C5C" w:rsidP="00AD1D4A">
      <w:pPr>
        <w:pStyle w:val="Odstavecseseznamem"/>
        <w:numPr>
          <w:ilvl w:val="0"/>
          <w:numId w:val="6"/>
        </w:numPr>
        <w:spacing w:after="0" w:line="360" w:lineRule="auto"/>
        <w:jc w:val="both"/>
        <w:rPr>
          <w:rFonts w:cs="Arial"/>
          <w:bCs/>
        </w:rPr>
      </w:pPr>
      <w:r w:rsidRPr="001644F8">
        <w:rPr>
          <w:rFonts w:cs="Arial"/>
          <w:bCs/>
          <w:sz w:val="24"/>
          <w:szCs w:val="24"/>
        </w:rPr>
        <w:t xml:space="preserve">OSINA, Petr, 2013. </w:t>
      </w:r>
      <w:r w:rsidRPr="001644F8">
        <w:rPr>
          <w:rFonts w:cs="Arial"/>
          <w:bCs/>
          <w:i/>
          <w:sz w:val="24"/>
          <w:szCs w:val="24"/>
        </w:rPr>
        <w:t>Teorie práva.</w:t>
      </w:r>
      <w:r w:rsidRPr="001644F8">
        <w:rPr>
          <w:rFonts w:cs="Arial"/>
          <w:bCs/>
          <w:sz w:val="24"/>
          <w:szCs w:val="24"/>
        </w:rPr>
        <w:t xml:space="preserve"> Praha: Leges, 236 s. ISBN 978-80-87576-65-6</w:t>
      </w:r>
      <w:r w:rsidRPr="000220C3">
        <w:rPr>
          <w:rFonts w:cs="Arial"/>
          <w:bCs/>
        </w:rPr>
        <w:t>.</w:t>
      </w:r>
    </w:p>
    <w:p w:rsidR="00B83116" w:rsidRDefault="00B83116" w:rsidP="00B83116">
      <w:pPr>
        <w:spacing w:after="0" w:line="360" w:lineRule="auto"/>
        <w:jc w:val="both"/>
        <w:rPr>
          <w:rFonts w:cs="Arial"/>
          <w:bCs/>
        </w:rPr>
      </w:pPr>
    </w:p>
    <w:p w:rsidR="00AD1D4A" w:rsidRDefault="00AD1D4A" w:rsidP="00B83116">
      <w:pPr>
        <w:spacing w:after="0" w:line="360" w:lineRule="auto"/>
        <w:jc w:val="both"/>
        <w:rPr>
          <w:rFonts w:cs="Arial"/>
          <w:bCs/>
        </w:rPr>
      </w:pPr>
    </w:p>
    <w:p w:rsidR="00AD1D4A" w:rsidRDefault="00AD1D4A" w:rsidP="00B83116">
      <w:pPr>
        <w:spacing w:after="0" w:line="360" w:lineRule="auto"/>
        <w:jc w:val="both"/>
        <w:rPr>
          <w:rFonts w:cs="Arial"/>
          <w:bCs/>
        </w:rPr>
      </w:pPr>
    </w:p>
    <w:p w:rsidR="00AD1D4A" w:rsidRDefault="00AD1D4A" w:rsidP="00B83116">
      <w:pPr>
        <w:spacing w:after="0" w:line="360" w:lineRule="auto"/>
        <w:jc w:val="both"/>
        <w:rPr>
          <w:rFonts w:cs="Arial"/>
          <w:bCs/>
        </w:rPr>
      </w:pPr>
    </w:p>
    <w:p w:rsidR="00AD1D4A" w:rsidRDefault="00AD1D4A" w:rsidP="00B83116">
      <w:pPr>
        <w:spacing w:after="0" w:line="360" w:lineRule="auto"/>
        <w:jc w:val="both"/>
        <w:rPr>
          <w:rFonts w:cs="Arial"/>
          <w:bCs/>
        </w:rPr>
      </w:pPr>
    </w:p>
    <w:p w:rsidR="00AD1D4A" w:rsidRDefault="00AD1D4A" w:rsidP="00B83116">
      <w:pPr>
        <w:spacing w:after="0" w:line="360" w:lineRule="auto"/>
        <w:jc w:val="both"/>
        <w:rPr>
          <w:rFonts w:cs="Arial"/>
          <w:bCs/>
        </w:rPr>
      </w:pPr>
    </w:p>
    <w:p w:rsidR="00AD1D4A" w:rsidRDefault="00AD1D4A" w:rsidP="00B83116">
      <w:pPr>
        <w:spacing w:after="0" w:line="360" w:lineRule="auto"/>
        <w:jc w:val="both"/>
        <w:rPr>
          <w:rFonts w:cs="Arial"/>
          <w:bCs/>
        </w:rPr>
      </w:pPr>
    </w:p>
    <w:p w:rsidR="00AD1D4A" w:rsidRDefault="00AD1D4A" w:rsidP="00B83116">
      <w:pPr>
        <w:spacing w:after="0" w:line="360" w:lineRule="auto"/>
        <w:jc w:val="both"/>
        <w:rPr>
          <w:rFonts w:cs="Arial"/>
          <w:bCs/>
        </w:rPr>
      </w:pPr>
    </w:p>
    <w:p w:rsidR="00AD1D4A" w:rsidRDefault="00AD1D4A" w:rsidP="00B83116">
      <w:pPr>
        <w:spacing w:after="0" w:line="360" w:lineRule="auto"/>
        <w:jc w:val="both"/>
        <w:rPr>
          <w:rFonts w:cs="Arial"/>
          <w:bCs/>
        </w:rPr>
      </w:pPr>
    </w:p>
    <w:p w:rsidR="00AD1D4A" w:rsidRDefault="00AD1D4A" w:rsidP="00B83116">
      <w:pPr>
        <w:spacing w:after="0" w:line="360" w:lineRule="auto"/>
        <w:jc w:val="both"/>
        <w:rPr>
          <w:rFonts w:cs="Arial"/>
          <w:bCs/>
        </w:rPr>
      </w:pPr>
    </w:p>
    <w:p w:rsidR="00AD1D4A" w:rsidRDefault="00AD1D4A" w:rsidP="00B83116">
      <w:pPr>
        <w:spacing w:after="0" w:line="360" w:lineRule="auto"/>
        <w:jc w:val="both"/>
        <w:rPr>
          <w:rFonts w:cs="Arial"/>
          <w:bCs/>
        </w:rPr>
      </w:pPr>
    </w:p>
    <w:p w:rsidR="00AD1D4A" w:rsidRDefault="00AD1D4A" w:rsidP="00B83116">
      <w:pPr>
        <w:spacing w:after="0" w:line="360" w:lineRule="auto"/>
        <w:jc w:val="both"/>
        <w:rPr>
          <w:rFonts w:cs="Arial"/>
          <w:bCs/>
        </w:rPr>
      </w:pPr>
    </w:p>
    <w:p w:rsidR="00AD1D4A" w:rsidRDefault="00AD1D4A" w:rsidP="00B83116">
      <w:pPr>
        <w:spacing w:after="0" w:line="360" w:lineRule="auto"/>
        <w:jc w:val="both"/>
        <w:rPr>
          <w:rFonts w:cs="Arial"/>
          <w:bCs/>
        </w:rPr>
      </w:pPr>
    </w:p>
    <w:p w:rsidR="00B83116" w:rsidRPr="000220C3" w:rsidRDefault="00B83116" w:rsidP="00AD1D4A">
      <w:pPr>
        <w:pStyle w:val="Nadpis2"/>
        <w:numPr>
          <w:ilvl w:val="0"/>
          <w:numId w:val="0"/>
        </w:numPr>
        <w:spacing w:before="0"/>
      </w:pPr>
      <w:bookmarkStart w:id="4" w:name="_Toc427302527"/>
      <w:bookmarkStart w:id="5" w:name="_Toc518453381"/>
      <w:r w:rsidRPr="000220C3">
        <w:t>Právní normy</w:t>
      </w:r>
      <w:bookmarkEnd w:id="4"/>
      <w:bookmarkEnd w:id="5"/>
      <w:r w:rsidRPr="000220C3">
        <w:t xml:space="preserve"> </w:t>
      </w:r>
    </w:p>
    <w:p w:rsidR="00B83116" w:rsidRPr="00AD1D4A" w:rsidRDefault="00B83116" w:rsidP="00AD1D4A">
      <w:pPr>
        <w:spacing w:after="0" w:line="360" w:lineRule="auto"/>
        <w:rPr>
          <w:rFonts w:cs="Arial"/>
          <w:sz w:val="24"/>
          <w:szCs w:val="24"/>
        </w:rPr>
      </w:pPr>
      <w:r w:rsidRPr="00AD1D4A">
        <w:rPr>
          <w:rFonts w:cs="Arial"/>
          <w:sz w:val="24"/>
          <w:szCs w:val="24"/>
        </w:rPr>
        <w:t xml:space="preserve">Základním kamenem v systému platného práva je tzv. </w:t>
      </w:r>
      <w:r w:rsidRPr="00AD1D4A">
        <w:rPr>
          <w:rFonts w:cs="Arial"/>
          <w:b/>
          <w:sz w:val="24"/>
          <w:szCs w:val="24"/>
        </w:rPr>
        <w:t xml:space="preserve">právní norma. </w:t>
      </w:r>
      <w:r w:rsidRPr="00AD1D4A">
        <w:rPr>
          <w:rFonts w:cs="Arial"/>
          <w:sz w:val="24"/>
          <w:szCs w:val="24"/>
        </w:rPr>
        <w:t xml:space="preserve">Je to pravidlo chování, které je vyjádřeno zvláštní, státem uznanou formou, tj. má podobu některého z pramenů práva, a jeho zachování je vynutitelné státní mocí. Soubor právních norem představuje, jak už bylo uvedeno výše, právo v objektivním smyslu. Předmětem právních norem je chování, na právní normy je tedy možno zjednodušeně pohlížet jako na určitá pravidla chování. Ty, kterých se pravidlo týká, pak můžeme označit jako adresáty působení práva (právní normy). Právní norma určuje, jaké chování je od adresáta žádoucí (ať už jde o aktivní činnost, tak zdržení se činnosti). Vystupuje jak v poloze regulátora chování adresátů, tak v poloze měřítka hodnocení chování adresátů. Charakteristickým znakem je i obecnost tohoto pravidla, právní norma se tak nevztahuje ke konkrétní situaci, ale k blíže neomezenému a neurčenému počtu případů. </w:t>
      </w:r>
    </w:p>
    <w:p w:rsidR="00B83116" w:rsidRPr="00AD1D4A" w:rsidRDefault="00B83116" w:rsidP="00AD1D4A">
      <w:pPr>
        <w:spacing w:after="0" w:line="360" w:lineRule="auto"/>
        <w:rPr>
          <w:rFonts w:cs="Arial"/>
          <w:sz w:val="24"/>
          <w:szCs w:val="24"/>
        </w:rPr>
      </w:pPr>
      <w:r w:rsidRPr="00AD1D4A">
        <w:rPr>
          <w:rFonts w:cs="Arial"/>
          <w:sz w:val="24"/>
          <w:szCs w:val="24"/>
        </w:rPr>
        <w:tab/>
        <w:t xml:space="preserve">Každá právní norma vykazuje jak </w:t>
      </w:r>
      <w:r w:rsidRPr="00AD1D4A">
        <w:rPr>
          <w:rFonts w:cs="Arial"/>
          <w:b/>
          <w:sz w:val="24"/>
          <w:szCs w:val="24"/>
        </w:rPr>
        <w:t>formální znaky právní normy,</w:t>
      </w:r>
      <w:r w:rsidRPr="00AD1D4A">
        <w:rPr>
          <w:rFonts w:cs="Arial"/>
          <w:sz w:val="24"/>
          <w:szCs w:val="24"/>
        </w:rPr>
        <w:t xml:space="preserve"> tj. je vydána tím, kým vydána býti má, neodporuje Ústavě ČR a byla předepsaným způsobem publikována ve Sbírce zákonů, tak materiální znaky právní normy, tj. regulativnost (reguluje chování v právních vztazích), obecnost (vztahuje se na nejmenovaný počet případů a upravuje chování nejmenovaného počtu právních subjektů) a vynutitelnost (porušování právních norem může být ze strany státu postihováno).</w:t>
      </w:r>
    </w:p>
    <w:p w:rsidR="00B83116" w:rsidRPr="00AD1D4A" w:rsidRDefault="00B83116" w:rsidP="00AD1D4A">
      <w:pPr>
        <w:spacing w:after="0" w:line="360" w:lineRule="auto"/>
        <w:rPr>
          <w:rFonts w:cs="Arial"/>
          <w:sz w:val="24"/>
          <w:szCs w:val="24"/>
        </w:rPr>
      </w:pPr>
      <w:r w:rsidRPr="00AD1D4A">
        <w:rPr>
          <w:rFonts w:cs="Arial"/>
          <w:sz w:val="24"/>
          <w:szCs w:val="24"/>
        </w:rPr>
        <w:tab/>
        <w:t xml:space="preserve">Klasická </w:t>
      </w:r>
      <w:r w:rsidRPr="00AD1D4A">
        <w:rPr>
          <w:rFonts w:cs="Arial"/>
          <w:b/>
          <w:sz w:val="24"/>
          <w:szCs w:val="24"/>
        </w:rPr>
        <w:t>struktura právní normy</w:t>
      </w:r>
      <w:r w:rsidRPr="00AD1D4A">
        <w:rPr>
          <w:rFonts w:cs="Arial"/>
          <w:sz w:val="24"/>
          <w:szCs w:val="24"/>
        </w:rPr>
        <w:t xml:space="preserve"> má podobu tříprvkovou: hypotéza – dispozice – sankce, resp. čtyřprvkovou: hypotéza – dispozice – sankční hypotéza – sankce. Hypotéza stanoví podmínky, které když jsou splněny, pak se uplatní pravidlo chování obsažené v dispozici. Nepříznivé následky, které jsou spojené s porušením právní povinnosti určené dispozicí, se nacházejí v sankci.</w:t>
      </w:r>
    </w:p>
    <w:p w:rsidR="00B83116" w:rsidRPr="00AD1D4A" w:rsidRDefault="00B83116" w:rsidP="00AD1D4A">
      <w:pPr>
        <w:spacing w:after="0" w:line="360" w:lineRule="auto"/>
        <w:rPr>
          <w:rFonts w:cs="Arial"/>
          <w:sz w:val="24"/>
          <w:szCs w:val="24"/>
        </w:rPr>
      </w:pPr>
      <w:r w:rsidRPr="00AD1D4A">
        <w:rPr>
          <w:rFonts w:cs="Arial"/>
          <w:sz w:val="24"/>
          <w:szCs w:val="24"/>
        </w:rPr>
        <w:tab/>
        <w:t xml:space="preserve">Právní normy lze třídit podle mnoha kritérií. Tradiční je dělení na normy kogentní a dispozitivní. </w:t>
      </w:r>
      <w:r w:rsidRPr="00AD1D4A">
        <w:rPr>
          <w:rFonts w:cs="Arial"/>
          <w:b/>
          <w:sz w:val="24"/>
          <w:szCs w:val="24"/>
        </w:rPr>
        <w:t>Kogentní normy</w:t>
      </w:r>
      <w:r w:rsidRPr="00AD1D4A">
        <w:rPr>
          <w:rFonts w:cs="Arial"/>
          <w:sz w:val="24"/>
          <w:szCs w:val="24"/>
        </w:rPr>
        <w:t xml:space="preserve"> nepřipouštějí odchylku, nelze se od nich odchýlit např. smluvním ujednáním, jsou příznačné pro veřejné právo. </w:t>
      </w:r>
      <w:r w:rsidRPr="00AD1D4A">
        <w:rPr>
          <w:rFonts w:cs="Arial"/>
          <w:b/>
          <w:sz w:val="24"/>
          <w:szCs w:val="24"/>
        </w:rPr>
        <w:t>Dispozitivní normy</w:t>
      </w:r>
      <w:r w:rsidRPr="00AD1D4A">
        <w:rPr>
          <w:rFonts w:cs="Arial"/>
          <w:sz w:val="24"/>
          <w:szCs w:val="24"/>
        </w:rPr>
        <w:t xml:space="preserve"> umožňují odchylku právě např. odlišným smluvním ujednáním, jsou typické pro soukromé právo. Mezi další druhy právních norem patří dělení na normy blanketové, odkazující, kolizní, opravňující, zavazující (přikazující, zakazující), hmotněprávní, procesní, soukromoprávní, veřejnoprávní, vnitrostátní či mezinárodní.</w:t>
      </w:r>
    </w:p>
    <w:p w:rsidR="00B83116" w:rsidRPr="00AD1D4A" w:rsidRDefault="00B83116" w:rsidP="00AD1D4A">
      <w:pPr>
        <w:spacing w:after="0" w:line="360" w:lineRule="auto"/>
        <w:rPr>
          <w:rFonts w:cs="Arial"/>
          <w:sz w:val="24"/>
          <w:szCs w:val="24"/>
        </w:rPr>
      </w:pPr>
      <w:r w:rsidRPr="00AD1D4A">
        <w:rPr>
          <w:rFonts w:cs="Arial"/>
          <w:sz w:val="24"/>
          <w:szCs w:val="24"/>
        </w:rPr>
        <w:lastRenderedPageBreak/>
        <w:tab/>
        <w:t xml:space="preserve">Pod pojmem </w:t>
      </w:r>
      <w:r w:rsidRPr="00AD1D4A">
        <w:rPr>
          <w:rFonts w:cs="Arial"/>
          <w:b/>
          <w:sz w:val="24"/>
          <w:szCs w:val="24"/>
        </w:rPr>
        <w:t xml:space="preserve">působnost právní normy </w:t>
      </w:r>
      <w:r w:rsidRPr="00AD1D4A">
        <w:rPr>
          <w:rFonts w:cs="Arial"/>
          <w:sz w:val="24"/>
          <w:szCs w:val="24"/>
        </w:rPr>
        <w:t xml:space="preserve">lze rozumět určitý rozsah, ve kterém se právní norma použije na konkrétní případ: </w:t>
      </w:r>
    </w:p>
    <w:p w:rsidR="00B83116" w:rsidRPr="00AD1D4A" w:rsidRDefault="00B83116" w:rsidP="00AD1D4A">
      <w:pPr>
        <w:numPr>
          <w:ilvl w:val="0"/>
          <w:numId w:val="9"/>
        </w:numPr>
        <w:spacing w:after="0" w:line="360" w:lineRule="auto"/>
        <w:jc w:val="both"/>
        <w:rPr>
          <w:rFonts w:cs="Arial"/>
          <w:sz w:val="24"/>
          <w:szCs w:val="24"/>
        </w:rPr>
      </w:pPr>
      <w:r w:rsidRPr="00AD1D4A">
        <w:rPr>
          <w:rFonts w:cs="Arial"/>
          <w:sz w:val="24"/>
          <w:szCs w:val="24"/>
        </w:rPr>
        <w:t xml:space="preserve">v případě územní působnosti právní normy jde o určení teritoria, kde působí, </w:t>
      </w:r>
    </w:p>
    <w:p w:rsidR="00B83116" w:rsidRPr="00AD1D4A" w:rsidRDefault="00B83116" w:rsidP="00AD1D4A">
      <w:pPr>
        <w:numPr>
          <w:ilvl w:val="0"/>
          <w:numId w:val="9"/>
        </w:numPr>
        <w:spacing w:after="0" w:line="360" w:lineRule="auto"/>
        <w:jc w:val="both"/>
        <w:rPr>
          <w:rFonts w:cs="Arial"/>
          <w:sz w:val="24"/>
          <w:szCs w:val="24"/>
        </w:rPr>
      </w:pPr>
      <w:r w:rsidRPr="00AD1D4A">
        <w:rPr>
          <w:rFonts w:cs="Arial"/>
          <w:sz w:val="24"/>
          <w:szCs w:val="24"/>
        </w:rPr>
        <w:t xml:space="preserve">v případě osobní působnosti o vymezení okruhu subjektů, na které se vztahuje, </w:t>
      </w:r>
    </w:p>
    <w:p w:rsidR="00B83116" w:rsidRPr="00AD1D4A" w:rsidRDefault="00B83116" w:rsidP="00AD1D4A">
      <w:pPr>
        <w:numPr>
          <w:ilvl w:val="0"/>
          <w:numId w:val="9"/>
        </w:numPr>
        <w:spacing w:after="0" w:line="360" w:lineRule="auto"/>
        <w:jc w:val="both"/>
        <w:rPr>
          <w:rFonts w:cs="Arial"/>
          <w:sz w:val="24"/>
          <w:szCs w:val="24"/>
        </w:rPr>
      </w:pPr>
      <w:r w:rsidRPr="00AD1D4A">
        <w:rPr>
          <w:rFonts w:cs="Arial"/>
          <w:sz w:val="24"/>
          <w:szCs w:val="24"/>
        </w:rPr>
        <w:t xml:space="preserve">časová působnost určuje od kdy a do kdy se podle ní společenské vztahy upravují </w:t>
      </w:r>
    </w:p>
    <w:p w:rsidR="00B83116" w:rsidRPr="00AD1D4A" w:rsidRDefault="00B83116" w:rsidP="00AD1D4A">
      <w:pPr>
        <w:numPr>
          <w:ilvl w:val="0"/>
          <w:numId w:val="9"/>
        </w:numPr>
        <w:spacing w:after="0" w:line="360" w:lineRule="auto"/>
        <w:jc w:val="both"/>
        <w:rPr>
          <w:rFonts w:cs="Arial"/>
          <w:sz w:val="24"/>
          <w:szCs w:val="24"/>
        </w:rPr>
      </w:pPr>
      <w:r w:rsidRPr="00AD1D4A">
        <w:rPr>
          <w:rFonts w:cs="Arial"/>
          <w:sz w:val="24"/>
          <w:szCs w:val="24"/>
        </w:rPr>
        <w:t xml:space="preserve">a konečně v případě věcné působnosti se jí rozumí vymezení okruhu společenských vztahů, které reguluje. </w:t>
      </w:r>
    </w:p>
    <w:p w:rsidR="00B83116" w:rsidRPr="00AD1D4A" w:rsidRDefault="00B83116" w:rsidP="00AD1D4A">
      <w:pPr>
        <w:spacing w:after="0" w:line="360" w:lineRule="auto"/>
        <w:rPr>
          <w:rFonts w:cs="Arial"/>
          <w:sz w:val="24"/>
          <w:szCs w:val="24"/>
        </w:rPr>
      </w:pPr>
      <w:r w:rsidRPr="00AD1D4A">
        <w:rPr>
          <w:rFonts w:cs="Arial"/>
          <w:sz w:val="24"/>
          <w:szCs w:val="24"/>
        </w:rPr>
        <w:tab/>
        <w:t xml:space="preserve">To, co stanoví platná právní norma, je v odborné právnické terminologii označováno jako </w:t>
      </w:r>
      <w:r w:rsidRPr="00AD1D4A">
        <w:rPr>
          <w:rFonts w:cs="Arial"/>
          <w:i/>
          <w:sz w:val="24"/>
          <w:szCs w:val="24"/>
        </w:rPr>
        <w:t>de lege lata,</w:t>
      </w:r>
      <w:r w:rsidRPr="00AD1D4A">
        <w:rPr>
          <w:rFonts w:cs="Arial"/>
          <w:sz w:val="24"/>
          <w:szCs w:val="24"/>
        </w:rPr>
        <w:t xml:space="preserve"> zatímco představy o budoucí vhodné a účelné právní úpravě se označují jako </w:t>
      </w:r>
      <w:r w:rsidRPr="00AD1D4A">
        <w:rPr>
          <w:rFonts w:cs="Arial"/>
          <w:i/>
          <w:sz w:val="24"/>
          <w:szCs w:val="24"/>
        </w:rPr>
        <w:t>de lege ferenda.</w:t>
      </w:r>
    </w:p>
    <w:p w:rsidR="00B83116" w:rsidRDefault="00B83116" w:rsidP="00AD1D4A">
      <w:pPr>
        <w:spacing w:after="0" w:line="360" w:lineRule="auto"/>
        <w:jc w:val="both"/>
        <w:rPr>
          <w:rFonts w:cs="Arial"/>
          <w:bCs/>
        </w:rPr>
      </w:pPr>
    </w:p>
    <w:p w:rsidR="00B83116" w:rsidRPr="000220C3" w:rsidRDefault="00B83116" w:rsidP="00AD1D4A">
      <w:pPr>
        <w:pStyle w:val="Nadpis2"/>
        <w:numPr>
          <w:ilvl w:val="0"/>
          <w:numId w:val="0"/>
        </w:numPr>
        <w:spacing w:before="0"/>
      </w:pPr>
      <w:bookmarkStart w:id="6" w:name="_Toc427302531"/>
      <w:bookmarkStart w:id="7" w:name="_Toc518453385"/>
      <w:r w:rsidRPr="000220C3">
        <w:t>Realizace práva</w:t>
      </w:r>
      <w:bookmarkEnd w:id="6"/>
      <w:bookmarkEnd w:id="7"/>
    </w:p>
    <w:p w:rsidR="00B83116" w:rsidRPr="00AD1D4A" w:rsidRDefault="00B83116" w:rsidP="00AD1D4A">
      <w:pPr>
        <w:spacing w:after="0" w:line="360" w:lineRule="auto"/>
        <w:rPr>
          <w:rFonts w:cs="Arial"/>
          <w:bCs/>
          <w:sz w:val="24"/>
          <w:szCs w:val="24"/>
        </w:rPr>
      </w:pPr>
      <w:r w:rsidRPr="00AD1D4A">
        <w:rPr>
          <w:rFonts w:cs="Arial"/>
          <w:b/>
          <w:bCs/>
          <w:sz w:val="24"/>
          <w:szCs w:val="24"/>
        </w:rPr>
        <w:t>Realizace práva, čili uskutečňování práva,</w:t>
      </w:r>
      <w:r w:rsidRPr="00AD1D4A">
        <w:rPr>
          <w:rFonts w:cs="Arial"/>
          <w:bCs/>
          <w:sz w:val="24"/>
          <w:szCs w:val="24"/>
        </w:rPr>
        <w:t xml:space="preserve"> představuje v obecném pojetí jakékoli uskutečňování právních norem v praxi, tj. využívání oprávnění a dodržování právních povinností. Mezi formy realizace právních norem přitom zejména patří:</w:t>
      </w:r>
    </w:p>
    <w:p w:rsidR="00B83116" w:rsidRPr="00AD1D4A" w:rsidRDefault="00B83116" w:rsidP="00AD1D4A">
      <w:pPr>
        <w:numPr>
          <w:ilvl w:val="0"/>
          <w:numId w:val="12"/>
        </w:numPr>
        <w:spacing w:after="0" w:line="360" w:lineRule="auto"/>
        <w:jc w:val="both"/>
        <w:rPr>
          <w:rFonts w:cs="Arial"/>
          <w:bCs/>
          <w:sz w:val="24"/>
          <w:szCs w:val="24"/>
        </w:rPr>
      </w:pPr>
      <w:r w:rsidRPr="00AD1D4A">
        <w:rPr>
          <w:rFonts w:cs="Arial"/>
          <w:bCs/>
          <w:sz w:val="24"/>
          <w:szCs w:val="24"/>
        </w:rPr>
        <w:t xml:space="preserve">realizace prostým dodržováním povinností a výkonem práv, </w:t>
      </w:r>
    </w:p>
    <w:p w:rsidR="00B83116" w:rsidRPr="00AD1D4A" w:rsidRDefault="00B83116" w:rsidP="00AD1D4A">
      <w:pPr>
        <w:numPr>
          <w:ilvl w:val="0"/>
          <w:numId w:val="12"/>
        </w:numPr>
        <w:spacing w:after="0" w:line="360" w:lineRule="auto"/>
        <w:jc w:val="both"/>
        <w:rPr>
          <w:rFonts w:cs="Arial"/>
          <w:bCs/>
          <w:sz w:val="24"/>
          <w:szCs w:val="24"/>
        </w:rPr>
      </w:pPr>
      <w:r w:rsidRPr="00AD1D4A">
        <w:rPr>
          <w:rFonts w:cs="Arial"/>
          <w:bCs/>
          <w:sz w:val="24"/>
          <w:szCs w:val="24"/>
        </w:rPr>
        <w:t xml:space="preserve">vytvářením právních vztahů, </w:t>
      </w:r>
    </w:p>
    <w:p w:rsidR="00B83116" w:rsidRPr="00AD1D4A" w:rsidRDefault="00B83116" w:rsidP="00AD1D4A">
      <w:pPr>
        <w:numPr>
          <w:ilvl w:val="0"/>
          <w:numId w:val="12"/>
        </w:numPr>
        <w:spacing w:after="0" w:line="360" w:lineRule="auto"/>
        <w:jc w:val="both"/>
        <w:rPr>
          <w:rFonts w:cs="Arial"/>
          <w:bCs/>
          <w:sz w:val="24"/>
          <w:szCs w:val="24"/>
        </w:rPr>
      </w:pPr>
      <w:r w:rsidRPr="00AD1D4A">
        <w:rPr>
          <w:rFonts w:cs="Arial"/>
          <w:bCs/>
          <w:sz w:val="24"/>
          <w:szCs w:val="24"/>
        </w:rPr>
        <w:t xml:space="preserve">aplikace práva, </w:t>
      </w:r>
    </w:p>
    <w:p w:rsidR="00B83116" w:rsidRPr="00AD1D4A" w:rsidRDefault="00B83116" w:rsidP="00AD1D4A">
      <w:pPr>
        <w:numPr>
          <w:ilvl w:val="0"/>
          <w:numId w:val="12"/>
        </w:numPr>
        <w:spacing w:after="0" w:line="360" w:lineRule="auto"/>
        <w:jc w:val="both"/>
        <w:rPr>
          <w:rFonts w:cs="Arial"/>
          <w:bCs/>
          <w:sz w:val="24"/>
          <w:szCs w:val="24"/>
        </w:rPr>
      </w:pPr>
      <w:r w:rsidRPr="00AD1D4A">
        <w:rPr>
          <w:rFonts w:cs="Arial"/>
          <w:bCs/>
          <w:sz w:val="24"/>
          <w:szCs w:val="24"/>
        </w:rPr>
        <w:t>prostřednictvím právní odpovědnosti.</w:t>
      </w:r>
    </w:p>
    <w:p w:rsidR="00B83116" w:rsidRPr="00AD1D4A" w:rsidRDefault="00B83116" w:rsidP="00AD1D4A">
      <w:pPr>
        <w:spacing w:after="0" w:line="360" w:lineRule="auto"/>
        <w:rPr>
          <w:rFonts w:cs="Arial"/>
          <w:bCs/>
          <w:sz w:val="24"/>
          <w:szCs w:val="24"/>
        </w:rPr>
      </w:pPr>
      <w:r w:rsidRPr="00AD1D4A">
        <w:rPr>
          <w:rFonts w:cs="Arial"/>
          <w:b/>
          <w:bCs/>
          <w:sz w:val="24"/>
          <w:szCs w:val="24"/>
        </w:rPr>
        <w:tab/>
        <w:t>Dodržování povinností a výkon práv</w:t>
      </w:r>
      <w:r w:rsidRPr="00AD1D4A">
        <w:rPr>
          <w:rFonts w:cs="Arial"/>
          <w:bCs/>
          <w:sz w:val="24"/>
          <w:szCs w:val="24"/>
        </w:rPr>
        <w:t xml:space="preserve"> spočívá v chování subjektu v souladu s právní normou, v souladu s právem (latinsky </w:t>
      </w:r>
      <w:r w:rsidRPr="00AD1D4A">
        <w:rPr>
          <w:rFonts w:cs="Arial"/>
          <w:bCs/>
          <w:i/>
          <w:sz w:val="24"/>
          <w:szCs w:val="24"/>
        </w:rPr>
        <w:t>secundum et intra legem</w:t>
      </w:r>
      <w:r w:rsidRPr="00AD1D4A">
        <w:rPr>
          <w:rFonts w:cs="Arial"/>
          <w:bCs/>
          <w:sz w:val="24"/>
          <w:szCs w:val="24"/>
        </w:rPr>
        <w:t xml:space="preserve">, popř. </w:t>
      </w:r>
      <w:r w:rsidRPr="00AD1D4A">
        <w:rPr>
          <w:rFonts w:cs="Arial"/>
          <w:bCs/>
          <w:i/>
          <w:sz w:val="24"/>
          <w:szCs w:val="24"/>
        </w:rPr>
        <w:t>secundum legem</w:t>
      </w:r>
      <w:r w:rsidRPr="00AD1D4A">
        <w:rPr>
          <w:rFonts w:cs="Arial"/>
          <w:bCs/>
          <w:sz w:val="24"/>
          <w:szCs w:val="24"/>
        </w:rPr>
        <w:t xml:space="preserve">). Orgány veřejné moci mohou jednat pouze </w:t>
      </w:r>
      <w:r w:rsidRPr="00AD1D4A">
        <w:rPr>
          <w:rFonts w:cs="Arial"/>
          <w:bCs/>
          <w:i/>
          <w:sz w:val="24"/>
          <w:szCs w:val="24"/>
        </w:rPr>
        <w:t>secundum legem,</w:t>
      </w:r>
      <w:r w:rsidRPr="00AD1D4A">
        <w:rPr>
          <w:rFonts w:cs="Arial"/>
          <w:bCs/>
          <w:sz w:val="24"/>
          <w:szCs w:val="24"/>
        </w:rPr>
        <w:t xml:space="preserve"> fyzické a právnické osoby mohou jednat též </w:t>
      </w:r>
      <w:r w:rsidRPr="00AD1D4A">
        <w:rPr>
          <w:rFonts w:cs="Arial"/>
          <w:bCs/>
          <w:i/>
          <w:sz w:val="24"/>
          <w:szCs w:val="24"/>
        </w:rPr>
        <w:t>praeter legem,</w:t>
      </w:r>
      <w:r w:rsidRPr="00AD1D4A">
        <w:rPr>
          <w:rFonts w:cs="Arial"/>
          <w:bCs/>
          <w:sz w:val="24"/>
          <w:szCs w:val="24"/>
        </w:rPr>
        <w:t xml:space="preserve"> tedy ne sice přesně podle zákona, ale způsobem, který je v souladu s účelem práva a neporušuje jej. </w:t>
      </w:r>
      <w:r w:rsidRPr="00AD1D4A">
        <w:rPr>
          <w:rFonts w:cs="Arial"/>
          <w:sz w:val="24"/>
          <w:szCs w:val="24"/>
        </w:rPr>
        <w:t>Obcházení zákona je takové právní jednání, jež sice přímo neporušuje žádnou právní normu, avšak které ke zmaření jejího účelu a smyslu přesto směřuje (např. umělé dělení předmětu veřejné zakázky na více částí, aby se zadavatel vyhnul povinnosti zakázku zadat v zadávacím řízení, dále např. rozdělení transakce v zakázaném objemu na větší počet dílčích transakcí).</w:t>
      </w:r>
    </w:p>
    <w:p w:rsidR="00B83116" w:rsidRPr="00AD1D4A" w:rsidRDefault="00B83116" w:rsidP="00AD1D4A">
      <w:pPr>
        <w:spacing w:after="0" w:line="360" w:lineRule="auto"/>
        <w:rPr>
          <w:rFonts w:cs="Arial"/>
          <w:bCs/>
          <w:sz w:val="24"/>
          <w:szCs w:val="24"/>
        </w:rPr>
      </w:pPr>
      <w:r w:rsidRPr="00AD1D4A">
        <w:rPr>
          <w:rFonts w:cs="Arial"/>
          <w:b/>
          <w:bCs/>
          <w:sz w:val="24"/>
          <w:szCs w:val="24"/>
        </w:rPr>
        <w:tab/>
        <w:t>Vytváření právních vztahů</w:t>
      </w:r>
      <w:r w:rsidRPr="00AD1D4A">
        <w:rPr>
          <w:rFonts w:cs="Arial"/>
          <w:bCs/>
          <w:sz w:val="24"/>
          <w:szCs w:val="24"/>
        </w:rPr>
        <w:t xml:space="preserve"> (např. uzavíráním smluv) představuje pomyslný první stupeň realizace, druhým je pak plnění povinností a využívání oprávnění, které představují obsah právního vztahu. Právní vztahy podrobněji upravuje následující kapitola. </w:t>
      </w:r>
    </w:p>
    <w:p w:rsidR="00B83116" w:rsidRPr="00AD1D4A" w:rsidRDefault="00B83116" w:rsidP="00AD1D4A">
      <w:pPr>
        <w:spacing w:after="0" w:line="360" w:lineRule="auto"/>
        <w:rPr>
          <w:rFonts w:cs="Arial"/>
          <w:bCs/>
          <w:sz w:val="24"/>
          <w:szCs w:val="24"/>
        </w:rPr>
      </w:pPr>
      <w:r w:rsidRPr="00AD1D4A">
        <w:rPr>
          <w:rFonts w:cs="Arial"/>
          <w:b/>
          <w:bCs/>
          <w:sz w:val="24"/>
          <w:szCs w:val="24"/>
        </w:rPr>
        <w:lastRenderedPageBreak/>
        <w:tab/>
        <w:t>Aplikace práva</w:t>
      </w:r>
      <w:r w:rsidRPr="00AD1D4A">
        <w:rPr>
          <w:rFonts w:cs="Arial"/>
          <w:bCs/>
          <w:sz w:val="24"/>
          <w:szCs w:val="24"/>
        </w:rPr>
        <w:t xml:space="preserve"> je kvalifikovanou formou realizace práva ve formě rozličných řízení, které vedou správní orgány či soudy. </w:t>
      </w:r>
    </w:p>
    <w:p w:rsidR="00B83116" w:rsidRPr="000220C3" w:rsidRDefault="00B83116" w:rsidP="00AD1D4A">
      <w:pPr>
        <w:spacing w:after="0" w:line="360" w:lineRule="auto"/>
        <w:rPr>
          <w:rFonts w:cs="Arial"/>
          <w:bCs/>
        </w:rPr>
      </w:pPr>
      <w:r w:rsidRPr="00AD1D4A">
        <w:rPr>
          <w:rFonts w:cs="Arial"/>
          <w:bCs/>
          <w:sz w:val="24"/>
          <w:szCs w:val="24"/>
        </w:rPr>
        <w:tab/>
      </w:r>
      <w:r w:rsidRPr="000220C3">
        <w:rPr>
          <w:rFonts w:cs="Arial"/>
          <w:bCs/>
        </w:rPr>
        <w:t xml:space="preserve"> </w:t>
      </w:r>
    </w:p>
    <w:p w:rsidR="00B83116" w:rsidRPr="000220C3" w:rsidRDefault="00B83116" w:rsidP="00AD1D4A">
      <w:pPr>
        <w:pStyle w:val="Nadpis2"/>
        <w:numPr>
          <w:ilvl w:val="0"/>
          <w:numId w:val="0"/>
        </w:numPr>
        <w:spacing w:before="0"/>
      </w:pPr>
      <w:bookmarkStart w:id="8" w:name="_Toc427302532"/>
      <w:bookmarkStart w:id="9" w:name="_Toc518453386"/>
      <w:r w:rsidRPr="000220C3">
        <w:t>Právní vztahy</w:t>
      </w:r>
      <w:bookmarkEnd w:id="8"/>
      <w:bookmarkEnd w:id="9"/>
    </w:p>
    <w:p w:rsidR="00B83116" w:rsidRPr="00AD1D4A" w:rsidRDefault="00B83116" w:rsidP="00AD1D4A">
      <w:pPr>
        <w:spacing w:after="0" w:line="360" w:lineRule="auto"/>
        <w:rPr>
          <w:rFonts w:cs="Arial"/>
          <w:sz w:val="24"/>
          <w:szCs w:val="24"/>
        </w:rPr>
      </w:pPr>
      <w:r w:rsidRPr="00AD1D4A">
        <w:rPr>
          <w:rFonts w:cs="Arial"/>
          <w:b/>
          <w:sz w:val="24"/>
          <w:szCs w:val="24"/>
        </w:rPr>
        <w:t>Právní vztahy</w:t>
      </w:r>
      <w:r w:rsidRPr="00AD1D4A">
        <w:rPr>
          <w:rFonts w:cs="Arial"/>
          <w:sz w:val="24"/>
          <w:szCs w:val="24"/>
        </w:rPr>
        <w:t xml:space="preserve"> lze definovat jako vztahy společenské, jako vztahy mezi lidmi nebo jejich organizovanými kolektivy, v nichž tyto subjekty vystupují jako nositelé práv a povinností, které jsou jim stanoveny právními normami nebo je mají mezi sebou smluvně upraveny. </w:t>
      </w:r>
    </w:p>
    <w:p w:rsidR="00B83116" w:rsidRPr="00AD1D4A" w:rsidRDefault="00B83116" w:rsidP="00AD1D4A">
      <w:pPr>
        <w:spacing w:after="0" w:line="360" w:lineRule="auto"/>
        <w:rPr>
          <w:rFonts w:cs="Arial"/>
          <w:sz w:val="24"/>
          <w:szCs w:val="24"/>
        </w:rPr>
      </w:pPr>
      <w:r w:rsidRPr="00AD1D4A">
        <w:rPr>
          <w:rFonts w:cs="Arial"/>
          <w:b/>
          <w:sz w:val="24"/>
          <w:szCs w:val="24"/>
        </w:rPr>
        <w:tab/>
        <w:t>Předpokladem realizace</w:t>
      </w:r>
      <w:r w:rsidRPr="00AD1D4A">
        <w:rPr>
          <w:rFonts w:cs="Arial"/>
          <w:sz w:val="24"/>
          <w:szCs w:val="24"/>
        </w:rPr>
        <w:t xml:space="preserve"> </w:t>
      </w:r>
      <w:r w:rsidRPr="00AD1D4A">
        <w:rPr>
          <w:rFonts w:cs="Arial"/>
          <w:b/>
          <w:sz w:val="24"/>
          <w:szCs w:val="24"/>
        </w:rPr>
        <w:t>právního vztahu</w:t>
      </w:r>
      <w:r w:rsidRPr="00AD1D4A">
        <w:rPr>
          <w:rFonts w:cs="Arial"/>
          <w:sz w:val="24"/>
          <w:szCs w:val="24"/>
        </w:rPr>
        <w:t xml:space="preserve"> je jednak </w:t>
      </w:r>
      <w:r w:rsidRPr="00AD1D4A">
        <w:rPr>
          <w:rFonts w:cs="Arial"/>
          <w:b/>
          <w:sz w:val="24"/>
          <w:szCs w:val="24"/>
        </w:rPr>
        <w:t>existence právních norem,</w:t>
      </w:r>
      <w:r w:rsidRPr="00AD1D4A">
        <w:rPr>
          <w:rFonts w:cs="Arial"/>
          <w:sz w:val="24"/>
          <w:szCs w:val="24"/>
        </w:rPr>
        <w:t xml:space="preserve"> které již byly výše charakterizovány, a dále pak také </w:t>
      </w:r>
      <w:r w:rsidRPr="00AD1D4A">
        <w:rPr>
          <w:rFonts w:cs="Arial"/>
          <w:b/>
          <w:sz w:val="24"/>
          <w:szCs w:val="24"/>
        </w:rPr>
        <w:t xml:space="preserve">existence právních skutečností, </w:t>
      </w:r>
      <w:r w:rsidRPr="00AD1D4A">
        <w:rPr>
          <w:rFonts w:cs="Arial"/>
          <w:sz w:val="24"/>
          <w:szCs w:val="24"/>
        </w:rPr>
        <w:t>tj.</w:t>
      </w:r>
      <w:r w:rsidRPr="00AD1D4A">
        <w:rPr>
          <w:rFonts w:cs="Arial"/>
          <w:b/>
          <w:sz w:val="24"/>
          <w:szCs w:val="24"/>
        </w:rPr>
        <w:t xml:space="preserve"> </w:t>
      </w:r>
      <w:r w:rsidRPr="00AD1D4A">
        <w:rPr>
          <w:rFonts w:cs="Arial"/>
          <w:sz w:val="24"/>
          <w:szCs w:val="24"/>
        </w:rPr>
        <w:t xml:space="preserve">právně významných okolností, se kterými právo spojuje vznik, změnu nebo zánik právního vztahu. </w:t>
      </w:r>
    </w:p>
    <w:p w:rsidR="00B83116" w:rsidRPr="00AD1D4A" w:rsidRDefault="00B83116" w:rsidP="00AD1D4A">
      <w:pPr>
        <w:spacing w:after="0" w:line="360" w:lineRule="auto"/>
        <w:rPr>
          <w:rFonts w:cs="Arial"/>
          <w:b/>
          <w:sz w:val="24"/>
          <w:szCs w:val="24"/>
        </w:rPr>
      </w:pPr>
      <w:r w:rsidRPr="00AD1D4A">
        <w:rPr>
          <w:rFonts w:cs="Arial"/>
          <w:sz w:val="24"/>
          <w:szCs w:val="24"/>
        </w:rPr>
        <w:tab/>
        <w:t xml:space="preserve">V právu lze rozlišovat zejména následující </w:t>
      </w:r>
      <w:r w:rsidRPr="00AD1D4A">
        <w:rPr>
          <w:rFonts w:cs="Arial"/>
          <w:b/>
          <w:sz w:val="24"/>
          <w:szCs w:val="24"/>
        </w:rPr>
        <w:t>druhy právních skutečností:</w:t>
      </w:r>
    </w:p>
    <w:p w:rsidR="00B83116" w:rsidRPr="00AD1D4A" w:rsidRDefault="00B83116" w:rsidP="00AD1D4A">
      <w:pPr>
        <w:numPr>
          <w:ilvl w:val="0"/>
          <w:numId w:val="11"/>
        </w:numPr>
        <w:spacing w:after="0" w:line="360" w:lineRule="auto"/>
        <w:jc w:val="both"/>
        <w:rPr>
          <w:rFonts w:cs="Arial"/>
          <w:b/>
          <w:sz w:val="24"/>
          <w:szCs w:val="24"/>
        </w:rPr>
      </w:pPr>
      <w:r w:rsidRPr="00AD1D4A">
        <w:rPr>
          <w:rFonts w:cs="Arial"/>
          <w:sz w:val="24"/>
          <w:szCs w:val="24"/>
        </w:rPr>
        <w:t>právní jednání – projev vůle určitého subjektu, směřující ke vzniku, změně nebo zániku právního vztahu (kupní smlouva, podání žaloby, pořízení závěti, vydání rozhodnutí, vytvoření díla apod.), dříve se používal pro jejich označení termín právní úkon,</w:t>
      </w:r>
    </w:p>
    <w:p w:rsidR="00B83116" w:rsidRPr="00AD1D4A" w:rsidRDefault="00B83116" w:rsidP="00AD1D4A">
      <w:pPr>
        <w:numPr>
          <w:ilvl w:val="0"/>
          <w:numId w:val="11"/>
        </w:numPr>
        <w:spacing w:after="0" w:line="360" w:lineRule="auto"/>
        <w:jc w:val="both"/>
        <w:rPr>
          <w:rFonts w:cs="Arial"/>
          <w:b/>
          <w:sz w:val="24"/>
          <w:szCs w:val="24"/>
        </w:rPr>
      </w:pPr>
      <w:r w:rsidRPr="00AD1D4A">
        <w:rPr>
          <w:rFonts w:cs="Arial"/>
          <w:sz w:val="24"/>
          <w:szCs w:val="24"/>
        </w:rPr>
        <w:t>protiprávní jednání (delikt), tedy projev vůle v rozporu s normami práva (trestné činy, přestupky, disciplinární delikty), které zakládají odpovědnostní vztahy,</w:t>
      </w:r>
    </w:p>
    <w:p w:rsidR="00B83116" w:rsidRPr="00AD1D4A" w:rsidRDefault="00B83116" w:rsidP="00AD1D4A">
      <w:pPr>
        <w:numPr>
          <w:ilvl w:val="0"/>
          <w:numId w:val="11"/>
        </w:numPr>
        <w:spacing w:after="0" w:line="360" w:lineRule="auto"/>
        <w:jc w:val="both"/>
        <w:rPr>
          <w:rFonts w:cs="Arial"/>
          <w:b/>
          <w:sz w:val="24"/>
          <w:szCs w:val="24"/>
        </w:rPr>
      </w:pPr>
      <w:r w:rsidRPr="00AD1D4A">
        <w:rPr>
          <w:rFonts w:cs="Arial"/>
          <w:sz w:val="24"/>
          <w:szCs w:val="24"/>
        </w:rPr>
        <w:t>právní událost – mimovolní skutečnost v souladu s právní normou (např. plynutí času, promlčení, prekluze, narození a smrt člověka),</w:t>
      </w:r>
    </w:p>
    <w:p w:rsidR="00B83116" w:rsidRPr="00AD1D4A" w:rsidRDefault="00B83116" w:rsidP="00AD1D4A">
      <w:pPr>
        <w:numPr>
          <w:ilvl w:val="0"/>
          <w:numId w:val="11"/>
        </w:numPr>
        <w:spacing w:after="0" w:line="360" w:lineRule="auto"/>
        <w:jc w:val="both"/>
        <w:rPr>
          <w:rFonts w:cs="Arial"/>
          <w:b/>
          <w:sz w:val="24"/>
          <w:szCs w:val="24"/>
        </w:rPr>
      </w:pPr>
      <w:r w:rsidRPr="00AD1D4A">
        <w:rPr>
          <w:rFonts w:cs="Arial"/>
          <w:sz w:val="24"/>
          <w:szCs w:val="24"/>
        </w:rPr>
        <w:t xml:space="preserve">protiprávní stavy jako mimovolní skutečnosti v rozporu s právní normou (jedná se např. o živelní pohromu, pracovní úraz, nemoc z povolání). </w:t>
      </w:r>
    </w:p>
    <w:p w:rsidR="00B83116" w:rsidRPr="00AD1D4A" w:rsidRDefault="00B83116" w:rsidP="00AD1D4A">
      <w:pPr>
        <w:spacing w:after="0" w:line="360" w:lineRule="auto"/>
        <w:rPr>
          <w:rFonts w:cs="Arial"/>
          <w:sz w:val="24"/>
          <w:szCs w:val="24"/>
        </w:rPr>
      </w:pPr>
      <w:r w:rsidRPr="00AD1D4A">
        <w:rPr>
          <w:rFonts w:cs="Arial"/>
          <w:sz w:val="24"/>
          <w:szCs w:val="24"/>
        </w:rPr>
        <w:tab/>
        <w:t xml:space="preserve">Mezi právní skutečnosti lze dále zařadit i zvláštní druhy skutečností, tj. zejména domněnky a fikce. </w:t>
      </w:r>
      <w:r w:rsidRPr="00AD1D4A">
        <w:rPr>
          <w:rFonts w:cs="Arial"/>
          <w:b/>
          <w:sz w:val="24"/>
          <w:szCs w:val="24"/>
        </w:rPr>
        <w:t>Právní domněnka</w:t>
      </w:r>
      <w:r w:rsidRPr="00AD1D4A">
        <w:rPr>
          <w:rFonts w:cs="Arial"/>
          <w:sz w:val="24"/>
          <w:szCs w:val="24"/>
        </w:rPr>
        <w:t xml:space="preserve"> předpokládá skutečnosti, které mají oporu v reálném světě, skutečnosti, které obvykle existují (např. při určování otcovství platí domněnka otcovství, kdy se předpokládá, že obvykle je otcem dítěte manžel matky). Domněnky mohou být konstruované jako vyvratitelné, které připouštějí důkaz opaku (např. důkaz otcovství jiného muže, presumpce neviny), dále jako nevyvratitelné, které důkaz opaku nepřipouštějí (např. pokud zaměstnanec práce po skončení pracovního poměru na dobu určitou nadále se souhlasem zaměstnavatele pokračuje v konání práce, byla stanovena nevyvratitelná právní domněnka, že tímto se pracovní poměr změnil v pracovní poměr na dobu neurčitou). </w:t>
      </w:r>
    </w:p>
    <w:p w:rsidR="00B83116" w:rsidRPr="00AD1D4A" w:rsidRDefault="00B83116" w:rsidP="00AD1D4A">
      <w:pPr>
        <w:spacing w:after="0" w:line="360" w:lineRule="auto"/>
        <w:rPr>
          <w:rFonts w:cs="Arial"/>
          <w:sz w:val="24"/>
          <w:szCs w:val="24"/>
        </w:rPr>
      </w:pPr>
      <w:r w:rsidRPr="00AD1D4A">
        <w:rPr>
          <w:rFonts w:cs="Arial"/>
          <w:sz w:val="24"/>
          <w:szCs w:val="24"/>
        </w:rPr>
        <w:tab/>
      </w:r>
      <w:r w:rsidRPr="00AD1D4A">
        <w:rPr>
          <w:rFonts w:cs="Arial"/>
          <w:b/>
          <w:sz w:val="24"/>
          <w:szCs w:val="24"/>
        </w:rPr>
        <w:t>Právní fikce</w:t>
      </w:r>
      <w:r w:rsidRPr="00AD1D4A">
        <w:rPr>
          <w:rFonts w:cs="Arial"/>
          <w:sz w:val="24"/>
          <w:szCs w:val="24"/>
        </w:rPr>
        <w:t xml:space="preserve"> je pak konstrukcí, jíž se za určitých okolností finguje právní skutečnost, která zcela určitě nenastala (např. fikce doručení zásilky do vlastních rukou podle správního řádu).</w:t>
      </w:r>
    </w:p>
    <w:p w:rsidR="00B83116" w:rsidRPr="00AD1D4A" w:rsidRDefault="00B83116" w:rsidP="00AD1D4A">
      <w:pPr>
        <w:spacing w:after="0" w:line="360" w:lineRule="auto"/>
        <w:rPr>
          <w:rFonts w:cs="Arial"/>
          <w:sz w:val="24"/>
          <w:szCs w:val="24"/>
        </w:rPr>
      </w:pPr>
      <w:r w:rsidRPr="00AD1D4A">
        <w:rPr>
          <w:rFonts w:cs="Arial"/>
          <w:b/>
          <w:sz w:val="24"/>
          <w:szCs w:val="24"/>
        </w:rPr>
        <w:lastRenderedPageBreak/>
        <w:tab/>
        <w:t>Prvky právního vztahu</w:t>
      </w:r>
      <w:r w:rsidRPr="00AD1D4A">
        <w:rPr>
          <w:rFonts w:cs="Arial"/>
          <w:sz w:val="24"/>
          <w:szCs w:val="24"/>
        </w:rPr>
        <w:t xml:space="preserve"> charakterizují jednotlivé právní vztahy, u právních vztahů lze vymezit 3 prvky, a to subjekty, objekt a obsah právního vztahu. </w:t>
      </w:r>
    </w:p>
    <w:p w:rsidR="00B83116" w:rsidRPr="00AD1D4A" w:rsidRDefault="00B83116" w:rsidP="00AD1D4A">
      <w:pPr>
        <w:spacing w:after="0" w:line="360" w:lineRule="auto"/>
        <w:rPr>
          <w:rFonts w:cs="Arial"/>
          <w:sz w:val="24"/>
          <w:szCs w:val="24"/>
        </w:rPr>
      </w:pPr>
      <w:r w:rsidRPr="00AD1D4A">
        <w:rPr>
          <w:rFonts w:cs="Arial"/>
          <w:sz w:val="24"/>
          <w:szCs w:val="24"/>
        </w:rPr>
        <w:tab/>
      </w:r>
      <w:r w:rsidRPr="00AD1D4A">
        <w:rPr>
          <w:rFonts w:cs="Arial"/>
          <w:b/>
          <w:sz w:val="24"/>
          <w:szCs w:val="24"/>
        </w:rPr>
        <w:t>Subjekty právního vztahu</w:t>
      </w:r>
      <w:r w:rsidRPr="00AD1D4A">
        <w:rPr>
          <w:rFonts w:cs="Arial"/>
          <w:sz w:val="24"/>
          <w:szCs w:val="24"/>
        </w:rPr>
        <w:t xml:space="preserve"> jsou nositeli subjektivních práv a povinností. Patří sem fyzické osoby a právnické osoby (korporace – typicky spolky, fundace – nadace či nadační fondy, či ústavy). Subjekty lze charakterizovat tím, že mají právní subjektivitu, nově tzv. právní osobnost (dříve způsobilost k právům a povinnostem). Dále subjekty mohou mít tzv. svéprávnost (dříve způsobilost k právním úkonům), způsobilost k protiprávnímu jednání či procesní způsobilost. Právnická osoba je útvarem umělým, fiktivním, vytvořeným pro účely práva. Stát v soukromoprávních vztazích je v postavení právnické osoby, ve veřejném právu </w:t>
      </w:r>
      <w:r w:rsidRPr="00AD1D4A">
        <w:rPr>
          <w:rFonts w:cs="Arial"/>
          <w:i/>
          <w:sz w:val="24"/>
          <w:szCs w:val="24"/>
        </w:rPr>
        <w:t xml:space="preserve">subjekt sui generis </w:t>
      </w:r>
      <w:r w:rsidRPr="00AD1D4A">
        <w:rPr>
          <w:rFonts w:cs="Arial"/>
          <w:sz w:val="24"/>
          <w:szCs w:val="24"/>
        </w:rPr>
        <w:t xml:space="preserve">(svého druhu). </w:t>
      </w:r>
    </w:p>
    <w:p w:rsidR="00B83116" w:rsidRPr="00AD1D4A" w:rsidRDefault="00B83116" w:rsidP="00AD1D4A">
      <w:pPr>
        <w:spacing w:after="0" w:line="360" w:lineRule="auto"/>
        <w:rPr>
          <w:rFonts w:cs="Arial"/>
          <w:sz w:val="24"/>
          <w:szCs w:val="24"/>
        </w:rPr>
      </w:pPr>
      <w:r w:rsidRPr="00AD1D4A">
        <w:rPr>
          <w:rFonts w:cs="Arial"/>
          <w:sz w:val="24"/>
          <w:szCs w:val="24"/>
        </w:rPr>
        <w:tab/>
        <w:t xml:space="preserve">Dalším prvkem je </w:t>
      </w:r>
      <w:r w:rsidRPr="00AD1D4A">
        <w:rPr>
          <w:rFonts w:cs="Arial"/>
          <w:b/>
          <w:sz w:val="24"/>
          <w:szCs w:val="24"/>
        </w:rPr>
        <w:t>objekt právního vztahu,</w:t>
      </w:r>
      <w:r w:rsidRPr="00AD1D4A">
        <w:rPr>
          <w:rFonts w:cs="Arial"/>
          <w:sz w:val="24"/>
          <w:szCs w:val="24"/>
        </w:rPr>
        <w:t xml:space="preserve"> tedy to, k čemu směřují práva a povinnosti subjektů. Lze lišit tzv. přímý objekt (chování) a nepřímý objekt, tj. věci, hodnoty lidské důstojnosti, výsledky tvůrčí duševní činnosti, transplantáty, výsledky chování. </w:t>
      </w:r>
    </w:p>
    <w:p w:rsidR="00B83116" w:rsidRPr="00AD1D4A" w:rsidRDefault="00B83116" w:rsidP="00AD1D4A">
      <w:pPr>
        <w:spacing w:after="0" w:line="360" w:lineRule="auto"/>
        <w:rPr>
          <w:rFonts w:cs="Arial"/>
          <w:sz w:val="24"/>
          <w:szCs w:val="24"/>
        </w:rPr>
      </w:pPr>
      <w:r w:rsidRPr="00AD1D4A">
        <w:rPr>
          <w:rFonts w:cs="Arial"/>
          <w:sz w:val="24"/>
          <w:szCs w:val="24"/>
        </w:rPr>
        <w:tab/>
        <w:t xml:space="preserve">A konečně třetím prvkem je </w:t>
      </w:r>
      <w:r w:rsidRPr="00AD1D4A">
        <w:rPr>
          <w:rFonts w:cs="Arial"/>
          <w:b/>
          <w:sz w:val="24"/>
          <w:szCs w:val="24"/>
        </w:rPr>
        <w:t xml:space="preserve">obsah právního vztahu, </w:t>
      </w:r>
      <w:r w:rsidRPr="00AD1D4A">
        <w:rPr>
          <w:rFonts w:cs="Arial"/>
          <w:sz w:val="24"/>
          <w:szCs w:val="24"/>
        </w:rPr>
        <w:t xml:space="preserve">vlastní souhrn oprávnění a povinností subjektů. Mezi 4 základní formy povinností patří povinnost něco dát (lat. dare), povinnost konat (facere), povinnost zdržet se určitého chování (omittere) a povinnost něco strpět (pati). </w:t>
      </w:r>
    </w:p>
    <w:p w:rsidR="00B83116" w:rsidRPr="00F93DD1" w:rsidRDefault="00B83116" w:rsidP="00AD1D4A">
      <w:pPr>
        <w:spacing w:after="0" w:line="360" w:lineRule="auto"/>
        <w:rPr>
          <w:rFonts w:cs="Arial"/>
        </w:rPr>
      </w:pPr>
      <w:r w:rsidRPr="00AD1D4A">
        <w:rPr>
          <w:rFonts w:cs="Arial"/>
          <w:sz w:val="24"/>
          <w:szCs w:val="24"/>
        </w:rPr>
        <w:tab/>
        <w:t xml:space="preserve">Právní vztahy se rozlišují podle mnoha hledisek, podle odvětví např. správněprávní, pracovněprávní či občanskoprávní vztahy, podle individualizace subjektů lze lišit vztahy absolutní a relativní, podle povahy právních norem vztahy veřejnoprávní, soukromoprávní apod. </w:t>
      </w:r>
      <w:r w:rsidRPr="00AD1D4A">
        <w:rPr>
          <w:sz w:val="24"/>
          <w:szCs w:val="24"/>
        </w:rPr>
        <w:t>Např. služební poměr vojáka z povolání lze charakterizovat jako veřejnoprávní vztah, upravený normami správního práva, jehož subjekty jsou stát a voják z povolání (občan ČR, který vojenskou činnou službu vykonává jako svoje zaměstnání, je ve služebním poměru k ČR a je povolán do služebního poměru jen na základě vlastní žádosti), objektem pak výkon vojenské činné služby v rámci ozbrojených sil a obsahem práva a povinnosti vojáka a státu v tomto vztahu.</w:t>
      </w:r>
    </w:p>
    <w:p w:rsidR="00AD1D4A" w:rsidRDefault="00AD1D4A" w:rsidP="00AD1D4A">
      <w:pPr>
        <w:pStyle w:val="Nadpis2"/>
        <w:numPr>
          <w:ilvl w:val="0"/>
          <w:numId w:val="0"/>
        </w:numPr>
        <w:spacing w:before="0"/>
      </w:pPr>
      <w:bookmarkStart w:id="10" w:name="_Toc427302533"/>
      <w:bookmarkStart w:id="11" w:name="_Toc518453387"/>
    </w:p>
    <w:p w:rsidR="00B83116" w:rsidRPr="000220C3" w:rsidRDefault="00B83116" w:rsidP="00AD1D4A">
      <w:pPr>
        <w:pStyle w:val="Nadpis2"/>
        <w:numPr>
          <w:ilvl w:val="0"/>
          <w:numId w:val="0"/>
        </w:numPr>
        <w:spacing w:before="0"/>
      </w:pPr>
      <w:r w:rsidRPr="000220C3">
        <w:t>Aplikace práva</w:t>
      </w:r>
      <w:bookmarkEnd w:id="10"/>
      <w:bookmarkEnd w:id="11"/>
    </w:p>
    <w:p w:rsidR="00B83116" w:rsidRPr="00AD1D4A" w:rsidRDefault="00B83116" w:rsidP="00AD1D4A">
      <w:pPr>
        <w:spacing w:after="0" w:line="360" w:lineRule="auto"/>
        <w:rPr>
          <w:rFonts w:cs="Arial"/>
          <w:sz w:val="24"/>
          <w:szCs w:val="24"/>
        </w:rPr>
      </w:pPr>
      <w:r w:rsidRPr="00AD1D4A">
        <w:rPr>
          <w:rFonts w:cs="Arial"/>
          <w:b/>
          <w:sz w:val="24"/>
          <w:szCs w:val="24"/>
        </w:rPr>
        <w:t>Aplikace práva</w:t>
      </w:r>
      <w:r w:rsidRPr="00AD1D4A">
        <w:rPr>
          <w:rFonts w:cs="Arial"/>
          <w:sz w:val="24"/>
          <w:szCs w:val="24"/>
        </w:rPr>
        <w:t xml:space="preserve"> představuje další ze způsobů realizace práva; jak již bylo uvedeno, jedná se o kvalifikovanou formu realizace práva uskutečňovanou orgány veřejné moci. Její podstatou je použití právní normy na konkrétní případ, a to v rámci tzv. aplikačního procesu, tedy postupu, ve kterém orgány veřejné moci rozhodují o právech a povinnostech fyzických a </w:t>
      </w:r>
      <w:r w:rsidRPr="00AD1D4A">
        <w:rPr>
          <w:rFonts w:cs="Arial"/>
          <w:sz w:val="24"/>
          <w:szCs w:val="24"/>
        </w:rPr>
        <w:lastRenderedPageBreak/>
        <w:t xml:space="preserve">právnických osob. Výsledkem tohoto aplikačního procesu pak jsou akty aplikace práva (např. rozhodnutí, rozsudky). </w:t>
      </w:r>
    </w:p>
    <w:p w:rsidR="00B83116" w:rsidRPr="00AD1D4A" w:rsidRDefault="00B83116" w:rsidP="00AD1D4A">
      <w:pPr>
        <w:spacing w:after="0" w:line="360" w:lineRule="auto"/>
        <w:rPr>
          <w:rFonts w:cs="Arial"/>
          <w:sz w:val="24"/>
          <w:szCs w:val="24"/>
        </w:rPr>
      </w:pPr>
      <w:r w:rsidRPr="00AD1D4A">
        <w:rPr>
          <w:rFonts w:cs="Arial"/>
          <w:sz w:val="24"/>
          <w:szCs w:val="24"/>
        </w:rPr>
        <w:tab/>
        <w:t>Proces aplikace práva v aplikačním procesu sestává ze 3 fází:</w:t>
      </w:r>
    </w:p>
    <w:p w:rsidR="00B83116" w:rsidRPr="00AD1D4A" w:rsidRDefault="00B83116" w:rsidP="00AD1D4A">
      <w:pPr>
        <w:numPr>
          <w:ilvl w:val="0"/>
          <w:numId w:val="10"/>
        </w:numPr>
        <w:spacing w:after="0" w:line="360" w:lineRule="auto"/>
        <w:jc w:val="both"/>
        <w:rPr>
          <w:rFonts w:cs="Arial"/>
          <w:sz w:val="24"/>
          <w:szCs w:val="24"/>
        </w:rPr>
      </w:pPr>
      <w:r w:rsidRPr="00AD1D4A">
        <w:rPr>
          <w:rFonts w:cs="Arial"/>
          <w:sz w:val="24"/>
          <w:szCs w:val="24"/>
        </w:rPr>
        <w:t>zjištění skutkové podstaty (okolností děje),</w:t>
      </w:r>
    </w:p>
    <w:p w:rsidR="00B83116" w:rsidRPr="00AD1D4A" w:rsidRDefault="00B83116" w:rsidP="00AD1D4A">
      <w:pPr>
        <w:numPr>
          <w:ilvl w:val="0"/>
          <w:numId w:val="10"/>
        </w:numPr>
        <w:spacing w:after="0" w:line="360" w:lineRule="auto"/>
        <w:jc w:val="both"/>
        <w:rPr>
          <w:rFonts w:cs="Arial"/>
          <w:sz w:val="24"/>
          <w:szCs w:val="24"/>
        </w:rPr>
      </w:pPr>
      <w:r w:rsidRPr="00AD1D4A">
        <w:rPr>
          <w:rFonts w:cs="Arial"/>
          <w:sz w:val="24"/>
          <w:szCs w:val="24"/>
        </w:rPr>
        <w:t>podřazení skutkové podstaty pod příslušnou právní normu,</w:t>
      </w:r>
    </w:p>
    <w:p w:rsidR="00B83116" w:rsidRPr="00AD1D4A" w:rsidRDefault="00B83116" w:rsidP="00AD1D4A">
      <w:pPr>
        <w:numPr>
          <w:ilvl w:val="0"/>
          <w:numId w:val="10"/>
        </w:numPr>
        <w:spacing w:after="0" w:line="360" w:lineRule="auto"/>
        <w:jc w:val="both"/>
        <w:rPr>
          <w:rFonts w:cs="Arial"/>
          <w:sz w:val="24"/>
          <w:szCs w:val="24"/>
        </w:rPr>
      </w:pPr>
      <w:r w:rsidRPr="00AD1D4A">
        <w:rPr>
          <w:rFonts w:cs="Arial"/>
          <w:sz w:val="24"/>
          <w:szCs w:val="24"/>
        </w:rPr>
        <w:t>vydání individuálního právního aktu.</w:t>
      </w:r>
    </w:p>
    <w:p w:rsidR="00B83116" w:rsidRPr="00AD1D4A" w:rsidRDefault="00B83116" w:rsidP="00AD1D4A">
      <w:pPr>
        <w:spacing w:after="0" w:line="360" w:lineRule="auto"/>
        <w:rPr>
          <w:rFonts w:cs="Arial"/>
          <w:sz w:val="24"/>
          <w:szCs w:val="24"/>
        </w:rPr>
      </w:pPr>
      <w:r w:rsidRPr="00AD1D4A">
        <w:rPr>
          <w:rFonts w:cs="Arial"/>
          <w:sz w:val="24"/>
          <w:szCs w:val="24"/>
        </w:rPr>
        <w:tab/>
        <w:t xml:space="preserve">Hlavními druhy procesu aplikace práva jsou občanské soudní řízení, trestní řízení a správní řízení. </w:t>
      </w:r>
      <w:r w:rsidRPr="00AD1D4A">
        <w:rPr>
          <w:rFonts w:cs="Arial"/>
          <w:b/>
          <w:sz w:val="24"/>
          <w:szCs w:val="24"/>
        </w:rPr>
        <w:t>Občanské soudní řízení</w:t>
      </w:r>
      <w:r w:rsidRPr="00AD1D4A">
        <w:rPr>
          <w:rFonts w:cs="Arial"/>
          <w:sz w:val="24"/>
          <w:szCs w:val="24"/>
        </w:rPr>
        <w:t xml:space="preserve"> upravuje v současnosti zákon č. 99/1963 Sb., občanský soudní řád, ve znění pozdějších předpisů. Občanské soudní řízení je možno vymezit jako zákonem upravený postup tzv. civilních soudů, které projednávají a rozhodují spory a jiné právní věci, které vyplývají z občanskoprávních, pracovních, rodinných a obchodních vztahů. Občanský soudní řád obsahuje právní úpravu civilního procesu: sporného nalézacího řízení, řízení smírčích a zajišťovacích a řízení vykonávacího. Je tedy základním procesním nástrojem, jehož prostřednictvím soudy poskytují ochranu narušeným nebo ohroženým subjektivním právům a jiným zákony chráněným zájmům fyzických a právnických osob. Zákon č. 292/2013 Sb., o zvláštních řízeních soudních nově upravuje řízení nesporná, jejichž úprava byla dříve upravena taktéž v občanském soudním řádu (např. řízení </w:t>
      </w:r>
      <w:r w:rsidRPr="00AD1D4A">
        <w:rPr>
          <w:sz w:val="24"/>
          <w:szCs w:val="24"/>
        </w:rPr>
        <w:t>o pozůstalosti</w:t>
      </w:r>
      <w:r w:rsidRPr="00AD1D4A">
        <w:rPr>
          <w:rFonts w:cs="Arial"/>
          <w:sz w:val="24"/>
          <w:szCs w:val="24"/>
        </w:rPr>
        <w:t xml:space="preserve">, </w:t>
      </w:r>
      <w:r w:rsidRPr="00AD1D4A">
        <w:rPr>
          <w:sz w:val="24"/>
          <w:szCs w:val="24"/>
        </w:rPr>
        <w:t>o určení a popření rodičovství či ve věcech osvojení).</w:t>
      </w:r>
    </w:p>
    <w:p w:rsidR="00B83116" w:rsidRPr="00AD1D4A" w:rsidRDefault="00B83116" w:rsidP="00AD1D4A">
      <w:pPr>
        <w:spacing w:after="0" w:line="360" w:lineRule="auto"/>
        <w:rPr>
          <w:rFonts w:cs="Arial"/>
          <w:sz w:val="24"/>
          <w:szCs w:val="24"/>
        </w:rPr>
      </w:pPr>
      <w:r w:rsidRPr="00AD1D4A">
        <w:rPr>
          <w:rFonts w:cs="Arial"/>
          <w:b/>
          <w:sz w:val="24"/>
          <w:szCs w:val="24"/>
        </w:rPr>
        <w:tab/>
        <w:t>Trestní řízení</w:t>
      </w:r>
      <w:r w:rsidRPr="00AD1D4A">
        <w:rPr>
          <w:rFonts w:cs="Arial"/>
          <w:sz w:val="24"/>
          <w:szCs w:val="24"/>
        </w:rPr>
        <w:t xml:space="preserve"> je v současnosti upraveno zákonem č. 141/1961 Sb., o trestním řízení soudním (trestní řád), ve znění pozdějších předpisů. Trestní řízení lze definovat jako zákonem upravený postup příslušných orgánů státu (tzv. orgánů činných v trestním řízení), jehož cílem je bez důvodných pochybností na základě řádně opatřených a provedených důkazů a při zachování zaručených práv dotčených osob zjistit, zda byl spáchán trestný čin, zjistit jeho pachatele, uložit mu spravedlivý trest nebo rozhodnout o potřebném ochranném opatření a takové rozhodnutí vykonat. Účelem trestního řádu jako základního pramene právní úpravy trestního řízení je upravit postup orgánů činných v trestním řízení tak, aby trestné činy byly náležitě zjištěny a jejich pachatelé podle zákona spravedlivě potrestáni.</w:t>
      </w:r>
    </w:p>
    <w:p w:rsidR="00B83116" w:rsidRPr="00B83116" w:rsidRDefault="00B83116" w:rsidP="00AD1D4A">
      <w:pPr>
        <w:spacing w:after="0" w:line="360" w:lineRule="auto"/>
        <w:ind w:firstLine="708"/>
        <w:rPr>
          <w:rFonts w:cs="Arial"/>
        </w:rPr>
      </w:pPr>
      <w:r w:rsidRPr="00AD1D4A">
        <w:rPr>
          <w:rFonts w:cs="Arial"/>
          <w:b/>
          <w:sz w:val="24"/>
          <w:szCs w:val="24"/>
        </w:rPr>
        <w:t>Správní řízení</w:t>
      </w:r>
      <w:r w:rsidRPr="00AD1D4A">
        <w:rPr>
          <w:rFonts w:cs="Arial"/>
          <w:sz w:val="24"/>
          <w:szCs w:val="24"/>
        </w:rPr>
        <w:t xml:space="preserve"> zakotvuje zákon č. 500/2004 Sb., správní řád, ve znění pozdějších předpisů. Na správní řízení (též správní proces) je nahlíženo jako na postup správního orgánu, jehož účelem je vydání rozhodnutí, jímž se v určité věci zakládají, mění nebo ruší práva anebo povinnosti jmenovitě určené osoby nebo jímž se v určité věci prohlašuje, že taková osoba práva nebo povinnosti má anebo nemá. Správní řád je pak základním </w:t>
      </w:r>
      <w:r w:rsidRPr="00AD1D4A">
        <w:rPr>
          <w:rFonts w:cs="Arial"/>
          <w:sz w:val="24"/>
          <w:szCs w:val="24"/>
        </w:rPr>
        <w:lastRenderedPageBreak/>
        <w:t>procesním předpisem upravujícím řízení před správním úřadem (správní řízení), v tomto smyslu je subsidiární ke všem dalším procesním úpravám správního práva (např. přestupkovému řízení). Je třeba také upozornit na zákon č. 150/2002 Sb., soudní řád správní, který ovšem upravuje problematiku týkající se správního soudnictví (žaloby ve správním soudnictví, kasační stížnosti, organizaci soudů ve správním soudnictví, postavení Nejvyššího správního soudu).</w:t>
      </w:r>
    </w:p>
    <w:sectPr w:rsidR="00B83116" w:rsidRPr="00B83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792"/>
    <w:multiLevelType w:val="hybridMultilevel"/>
    <w:tmpl w:val="233AA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7F5A72"/>
    <w:multiLevelType w:val="hybridMultilevel"/>
    <w:tmpl w:val="43BA8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0836BF"/>
    <w:multiLevelType w:val="hybridMultilevel"/>
    <w:tmpl w:val="66740D3A"/>
    <w:lvl w:ilvl="0" w:tplc="E38E4374">
      <w:start w:val="1"/>
      <w:numFmt w:val="decimal"/>
      <w:lvlText w:val="%1."/>
      <w:lvlJc w:val="left"/>
      <w:pPr>
        <w:tabs>
          <w:tab w:val="num" w:pos="720"/>
        </w:tabs>
        <w:ind w:left="720" w:hanging="360"/>
      </w:pPr>
      <w:rPr>
        <w:rFonts w:asciiTheme="minorHAnsi" w:eastAsiaTheme="minorHAnsi" w:hAnsiTheme="minorHAnsi" w:cstheme="minorBidi"/>
      </w:rPr>
    </w:lvl>
    <w:lvl w:ilvl="1" w:tplc="BEE842BC" w:tentative="1">
      <w:start w:val="1"/>
      <w:numFmt w:val="bullet"/>
      <w:lvlText w:val=""/>
      <w:lvlJc w:val="left"/>
      <w:pPr>
        <w:tabs>
          <w:tab w:val="num" w:pos="1440"/>
        </w:tabs>
        <w:ind w:left="1440" w:hanging="360"/>
      </w:pPr>
      <w:rPr>
        <w:rFonts w:ascii="Wingdings" w:hAnsi="Wingdings" w:hint="default"/>
      </w:rPr>
    </w:lvl>
    <w:lvl w:ilvl="2" w:tplc="9950273C" w:tentative="1">
      <w:start w:val="1"/>
      <w:numFmt w:val="bullet"/>
      <w:lvlText w:val=""/>
      <w:lvlJc w:val="left"/>
      <w:pPr>
        <w:tabs>
          <w:tab w:val="num" w:pos="2160"/>
        </w:tabs>
        <w:ind w:left="2160" w:hanging="360"/>
      </w:pPr>
      <w:rPr>
        <w:rFonts w:ascii="Wingdings" w:hAnsi="Wingdings" w:hint="default"/>
      </w:rPr>
    </w:lvl>
    <w:lvl w:ilvl="3" w:tplc="A3127184" w:tentative="1">
      <w:start w:val="1"/>
      <w:numFmt w:val="bullet"/>
      <w:lvlText w:val=""/>
      <w:lvlJc w:val="left"/>
      <w:pPr>
        <w:tabs>
          <w:tab w:val="num" w:pos="2880"/>
        </w:tabs>
        <w:ind w:left="2880" w:hanging="360"/>
      </w:pPr>
      <w:rPr>
        <w:rFonts w:ascii="Wingdings" w:hAnsi="Wingdings" w:hint="default"/>
      </w:rPr>
    </w:lvl>
    <w:lvl w:ilvl="4" w:tplc="305473BA" w:tentative="1">
      <w:start w:val="1"/>
      <w:numFmt w:val="bullet"/>
      <w:lvlText w:val=""/>
      <w:lvlJc w:val="left"/>
      <w:pPr>
        <w:tabs>
          <w:tab w:val="num" w:pos="3600"/>
        </w:tabs>
        <w:ind w:left="3600" w:hanging="360"/>
      </w:pPr>
      <w:rPr>
        <w:rFonts w:ascii="Wingdings" w:hAnsi="Wingdings" w:hint="default"/>
      </w:rPr>
    </w:lvl>
    <w:lvl w:ilvl="5" w:tplc="34DAF208" w:tentative="1">
      <w:start w:val="1"/>
      <w:numFmt w:val="bullet"/>
      <w:lvlText w:val=""/>
      <w:lvlJc w:val="left"/>
      <w:pPr>
        <w:tabs>
          <w:tab w:val="num" w:pos="4320"/>
        </w:tabs>
        <w:ind w:left="4320" w:hanging="360"/>
      </w:pPr>
      <w:rPr>
        <w:rFonts w:ascii="Wingdings" w:hAnsi="Wingdings" w:hint="default"/>
      </w:rPr>
    </w:lvl>
    <w:lvl w:ilvl="6" w:tplc="C9B4BC28" w:tentative="1">
      <w:start w:val="1"/>
      <w:numFmt w:val="bullet"/>
      <w:lvlText w:val=""/>
      <w:lvlJc w:val="left"/>
      <w:pPr>
        <w:tabs>
          <w:tab w:val="num" w:pos="5040"/>
        </w:tabs>
        <w:ind w:left="5040" w:hanging="360"/>
      </w:pPr>
      <w:rPr>
        <w:rFonts w:ascii="Wingdings" w:hAnsi="Wingdings" w:hint="default"/>
      </w:rPr>
    </w:lvl>
    <w:lvl w:ilvl="7" w:tplc="F4CE32FA" w:tentative="1">
      <w:start w:val="1"/>
      <w:numFmt w:val="bullet"/>
      <w:lvlText w:val=""/>
      <w:lvlJc w:val="left"/>
      <w:pPr>
        <w:tabs>
          <w:tab w:val="num" w:pos="5760"/>
        </w:tabs>
        <w:ind w:left="5760" w:hanging="360"/>
      </w:pPr>
      <w:rPr>
        <w:rFonts w:ascii="Wingdings" w:hAnsi="Wingdings" w:hint="default"/>
      </w:rPr>
    </w:lvl>
    <w:lvl w:ilvl="8" w:tplc="F8D6C5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B663D"/>
    <w:multiLevelType w:val="hybridMultilevel"/>
    <w:tmpl w:val="DB20E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9E718B"/>
    <w:multiLevelType w:val="multilevel"/>
    <w:tmpl w:val="644AF0A0"/>
    <w:lvl w:ilvl="0">
      <w:start w:val="1"/>
      <w:numFmt w:val="decimal"/>
      <w:pStyle w:val="Nadpis1"/>
      <w:lvlText w:val="%1"/>
      <w:lvlJc w:val="left"/>
      <w:pPr>
        <w:ind w:left="720" w:hanging="360"/>
      </w:pPr>
      <w:rPr>
        <w:rFonts w:cs="Times New Roman" w:hint="default"/>
      </w:rPr>
    </w:lvl>
    <w:lvl w:ilvl="1">
      <w:start w:val="1"/>
      <w:numFmt w:val="decimal"/>
      <w:pStyle w:val="Nadpis2"/>
      <w:isLgl/>
      <w:lvlText w:val="%1.%2"/>
      <w:lvlJc w:val="left"/>
      <w:pPr>
        <w:ind w:left="1417" w:hanging="708"/>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15:restartNumberingAfterBreak="0">
    <w:nsid w:val="45325063"/>
    <w:multiLevelType w:val="hybridMultilevel"/>
    <w:tmpl w:val="5DB2E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3E4AF4"/>
    <w:multiLevelType w:val="hybridMultilevel"/>
    <w:tmpl w:val="94724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2F5E3D"/>
    <w:multiLevelType w:val="hybridMultilevel"/>
    <w:tmpl w:val="43081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933B6D"/>
    <w:multiLevelType w:val="hybridMultilevel"/>
    <w:tmpl w:val="4BE873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946CD8"/>
    <w:multiLevelType w:val="multilevel"/>
    <w:tmpl w:val="D9449A3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6F6E2715"/>
    <w:multiLevelType w:val="hybridMultilevel"/>
    <w:tmpl w:val="F200973C"/>
    <w:lvl w:ilvl="0" w:tplc="D336653C">
      <w:start w:val="1"/>
      <w:numFmt w:val="bullet"/>
      <w:lvlText w:val=""/>
      <w:lvlJc w:val="left"/>
      <w:pPr>
        <w:tabs>
          <w:tab w:val="num" w:pos="720"/>
        </w:tabs>
        <w:ind w:left="720" w:hanging="360"/>
      </w:pPr>
      <w:rPr>
        <w:rFonts w:ascii="Symbol" w:hAnsi="Symbol" w:hint="default"/>
      </w:rPr>
    </w:lvl>
    <w:lvl w:ilvl="1" w:tplc="70B8DD3E" w:tentative="1">
      <w:start w:val="1"/>
      <w:numFmt w:val="bullet"/>
      <w:lvlText w:val=""/>
      <w:lvlJc w:val="left"/>
      <w:pPr>
        <w:tabs>
          <w:tab w:val="num" w:pos="1440"/>
        </w:tabs>
        <w:ind w:left="1440" w:hanging="360"/>
      </w:pPr>
      <w:rPr>
        <w:rFonts w:ascii="Wingdings" w:hAnsi="Wingdings" w:hint="default"/>
      </w:rPr>
    </w:lvl>
    <w:lvl w:ilvl="2" w:tplc="459C075A" w:tentative="1">
      <w:start w:val="1"/>
      <w:numFmt w:val="bullet"/>
      <w:lvlText w:val=""/>
      <w:lvlJc w:val="left"/>
      <w:pPr>
        <w:tabs>
          <w:tab w:val="num" w:pos="2160"/>
        </w:tabs>
        <w:ind w:left="2160" w:hanging="360"/>
      </w:pPr>
      <w:rPr>
        <w:rFonts w:ascii="Wingdings" w:hAnsi="Wingdings" w:hint="default"/>
      </w:rPr>
    </w:lvl>
    <w:lvl w:ilvl="3" w:tplc="5434C0FC" w:tentative="1">
      <w:start w:val="1"/>
      <w:numFmt w:val="bullet"/>
      <w:lvlText w:val=""/>
      <w:lvlJc w:val="left"/>
      <w:pPr>
        <w:tabs>
          <w:tab w:val="num" w:pos="2880"/>
        </w:tabs>
        <w:ind w:left="2880" w:hanging="360"/>
      </w:pPr>
      <w:rPr>
        <w:rFonts w:ascii="Wingdings" w:hAnsi="Wingdings" w:hint="default"/>
      </w:rPr>
    </w:lvl>
    <w:lvl w:ilvl="4" w:tplc="184A4392" w:tentative="1">
      <w:start w:val="1"/>
      <w:numFmt w:val="bullet"/>
      <w:lvlText w:val=""/>
      <w:lvlJc w:val="left"/>
      <w:pPr>
        <w:tabs>
          <w:tab w:val="num" w:pos="3600"/>
        </w:tabs>
        <w:ind w:left="3600" w:hanging="360"/>
      </w:pPr>
      <w:rPr>
        <w:rFonts w:ascii="Wingdings" w:hAnsi="Wingdings" w:hint="default"/>
      </w:rPr>
    </w:lvl>
    <w:lvl w:ilvl="5" w:tplc="8ABA8604" w:tentative="1">
      <w:start w:val="1"/>
      <w:numFmt w:val="bullet"/>
      <w:lvlText w:val=""/>
      <w:lvlJc w:val="left"/>
      <w:pPr>
        <w:tabs>
          <w:tab w:val="num" w:pos="4320"/>
        </w:tabs>
        <w:ind w:left="4320" w:hanging="360"/>
      </w:pPr>
      <w:rPr>
        <w:rFonts w:ascii="Wingdings" w:hAnsi="Wingdings" w:hint="default"/>
      </w:rPr>
    </w:lvl>
    <w:lvl w:ilvl="6" w:tplc="CEC27EDC" w:tentative="1">
      <w:start w:val="1"/>
      <w:numFmt w:val="bullet"/>
      <w:lvlText w:val=""/>
      <w:lvlJc w:val="left"/>
      <w:pPr>
        <w:tabs>
          <w:tab w:val="num" w:pos="5040"/>
        </w:tabs>
        <w:ind w:left="5040" w:hanging="360"/>
      </w:pPr>
      <w:rPr>
        <w:rFonts w:ascii="Wingdings" w:hAnsi="Wingdings" w:hint="default"/>
      </w:rPr>
    </w:lvl>
    <w:lvl w:ilvl="7" w:tplc="3370ADAE" w:tentative="1">
      <w:start w:val="1"/>
      <w:numFmt w:val="bullet"/>
      <w:lvlText w:val=""/>
      <w:lvlJc w:val="left"/>
      <w:pPr>
        <w:tabs>
          <w:tab w:val="num" w:pos="5760"/>
        </w:tabs>
        <w:ind w:left="5760" w:hanging="360"/>
      </w:pPr>
      <w:rPr>
        <w:rFonts w:ascii="Wingdings" w:hAnsi="Wingdings" w:hint="default"/>
      </w:rPr>
    </w:lvl>
    <w:lvl w:ilvl="8" w:tplc="6A26CEC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4"/>
  </w:num>
  <w:num w:numId="5">
    <w:abstractNumId w:val="9"/>
  </w:num>
  <w:num w:numId="6">
    <w:abstractNumId w:val="1"/>
  </w:num>
  <w:num w:numId="7">
    <w:abstractNumId w:val="4"/>
  </w:num>
  <w:num w:numId="8">
    <w:abstractNumId w:val="2"/>
  </w:num>
  <w:num w:numId="9">
    <w:abstractNumId w:val="0"/>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18"/>
    <w:rsid w:val="00026740"/>
    <w:rsid w:val="0005382A"/>
    <w:rsid w:val="00062FDB"/>
    <w:rsid w:val="00075EED"/>
    <w:rsid w:val="001644F8"/>
    <w:rsid w:val="001B29B9"/>
    <w:rsid w:val="001B5189"/>
    <w:rsid w:val="002038BC"/>
    <w:rsid w:val="00211FF0"/>
    <w:rsid w:val="0023301A"/>
    <w:rsid w:val="002935D1"/>
    <w:rsid w:val="003212F6"/>
    <w:rsid w:val="003733E6"/>
    <w:rsid w:val="003C73E9"/>
    <w:rsid w:val="003E6083"/>
    <w:rsid w:val="00413B80"/>
    <w:rsid w:val="004226CF"/>
    <w:rsid w:val="004A00C8"/>
    <w:rsid w:val="004C6F94"/>
    <w:rsid w:val="004E647B"/>
    <w:rsid w:val="005B1FE7"/>
    <w:rsid w:val="005C27FF"/>
    <w:rsid w:val="005D4EEC"/>
    <w:rsid w:val="00675D4B"/>
    <w:rsid w:val="006B3C5C"/>
    <w:rsid w:val="006D1C76"/>
    <w:rsid w:val="006F1526"/>
    <w:rsid w:val="006F697E"/>
    <w:rsid w:val="006F77AA"/>
    <w:rsid w:val="00741A70"/>
    <w:rsid w:val="0077129A"/>
    <w:rsid w:val="0077243D"/>
    <w:rsid w:val="0077553A"/>
    <w:rsid w:val="0078384D"/>
    <w:rsid w:val="007C160F"/>
    <w:rsid w:val="00825C52"/>
    <w:rsid w:val="00826C0D"/>
    <w:rsid w:val="0083463B"/>
    <w:rsid w:val="00880E2F"/>
    <w:rsid w:val="008B5E68"/>
    <w:rsid w:val="008B6378"/>
    <w:rsid w:val="008C1258"/>
    <w:rsid w:val="008F6E1E"/>
    <w:rsid w:val="009052DF"/>
    <w:rsid w:val="00914708"/>
    <w:rsid w:val="00933418"/>
    <w:rsid w:val="00950490"/>
    <w:rsid w:val="009A02E9"/>
    <w:rsid w:val="009E6DF0"/>
    <w:rsid w:val="009F61A9"/>
    <w:rsid w:val="00A76E20"/>
    <w:rsid w:val="00A77F70"/>
    <w:rsid w:val="00A84B00"/>
    <w:rsid w:val="00A90B4F"/>
    <w:rsid w:val="00AB6586"/>
    <w:rsid w:val="00AD1D4A"/>
    <w:rsid w:val="00AE06D1"/>
    <w:rsid w:val="00B21906"/>
    <w:rsid w:val="00B83116"/>
    <w:rsid w:val="00B95101"/>
    <w:rsid w:val="00BB2995"/>
    <w:rsid w:val="00BC48D1"/>
    <w:rsid w:val="00C73EA2"/>
    <w:rsid w:val="00D045BD"/>
    <w:rsid w:val="00D10186"/>
    <w:rsid w:val="00D231E7"/>
    <w:rsid w:val="00D658F0"/>
    <w:rsid w:val="00D77A27"/>
    <w:rsid w:val="00D81564"/>
    <w:rsid w:val="00DE4BD0"/>
    <w:rsid w:val="00E434AE"/>
    <w:rsid w:val="00EE2EA1"/>
    <w:rsid w:val="00EF3483"/>
    <w:rsid w:val="00F040D4"/>
    <w:rsid w:val="00F3156D"/>
    <w:rsid w:val="00F3311F"/>
    <w:rsid w:val="00F352BF"/>
    <w:rsid w:val="00F762A9"/>
    <w:rsid w:val="00F907E0"/>
    <w:rsid w:val="00FA4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D426"/>
  <w15:docId w15:val="{37C22A45-E1EC-4741-9B55-3D1BE49A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E20"/>
    <w:pPr>
      <w:spacing w:after="100" w:line="240" w:lineRule="auto"/>
    </w:pPr>
  </w:style>
  <w:style w:type="paragraph" w:styleId="Nadpis1">
    <w:name w:val="heading 1"/>
    <w:basedOn w:val="Normln"/>
    <w:next w:val="Normln"/>
    <w:link w:val="Nadpis1Char"/>
    <w:uiPriority w:val="99"/>
    <w:qFormat/>
    <w:rsid w:val="006B3C5C"/>
    <w:pPr>
      <w:keepNext/>
      <w:numPr>
        <w:numId w:val="4"/>
      </w:numPr>
      <w:spacing w:after="240" w:line="360" w:lineRule="auto"/>
      <w:ind w:left="284" w:hanging="284"/>
      <w:jc w:val="both"/>
      <w:outlineLvl w:val="0"/>
    </w:pPr>
    <w:rPr>
      <w:rFonts w:ascii="Arial Narrow" w:eastAsia="Times New Roman" w:hAnsi="Arial Narrow" w:cs="Times New Roman"/>
      <w:b/>
      <w:sz w:val="28"/>
      <w:szCs w:val="24"/>
      <w:lang w:eastAsia="cs-CZ"/>
    </w:rPr>
  </w:style>
  <w:style w:type="paragraph" w:styleId="Nadpis2">
    <w:name w:val="heading 2"/>
    <w:basedOn w:val="Normln"/>
    <w:next w:val="Normln"/>
    <w:link w:val="Nadpis2Char"/>
    <w:uiPriority w:val="99"/>
    <w:qFormat/>
    <w:rsid w:val="006B3C5C"/>
    <w:pPr>
      <w:keepNext/>
      <w:numPr>
        <w:ilvl w:val="1"/>
        <w:numId w:val="4"/>
      </w:numPr>
      <w:spacing w:before="240" w:after="0" w:line="360" w:lineRule="auto"/>
      <w:outlineLvl w:val="1"/>
    </w:pPr>
    <w:rPr>
      <w:rFonts w:ascii="Arial Narrow" w:eastAsia="Times New Roman" w:hAnsi="Arial Narrow" w:cs="Times New Roman"/>
      <w:b/>
      <w:bCs/>
      <w:sz w:val="2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0490"/>
    <w:pPr>
      <w:ind w:left="720"/>
      <w:contextualSpacing/>
    </w:pPr>
  </w:style>
  <w:style w:type="paragraph" w:styleId="Textbubliny">
    <w:name w:val="Balloon Text"/>
    <w:basedOn w:val="Normln"/>
    <w:link w:val="TextbublinyChar"/>
    <w:uiPriority w:val="99"/>
    <w:semiHidden/>
    <w:unhideWhenUsed/>
    <w:rsid w:val="00BB299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2995"/>
    <w:rPr>
      <w:rFonts w:ascii="Segoe UI" w:hAnsi="Segoe UI" w:cs="Segoe UI"/>
      <w:sz w:val="18"/>
      <w:szCs w:val="18"/>
    </w:rPr>
  </w:style>
  <w:style w:type="character" w:customStyle="1" w:styleId="Nadpis1Char">
    <w:name w:val="Nadpis 1 Char"/>
    <w:basedOn w:val="Standardnpsmoodstavce"/>
    <w:link w:val="Nadpis1"/>
    <w:uiPriority w:val="99"/>
    <w:rsid w:val="006B3C5C"/>
    <w:rPr>
      <w:rFonts w:ascii="Arial Narrow" w:eastAsia="Times New Roman" w:hAnsi="Arial Narrow" w:cs="Times New Roman"/>
      <w:b/>
      <w:sz w:val="28"/>
      <w:szCs w:val="24"/>
      <w:lang w:eastAsia="cs-CZ"/>
    </w:rPr>
  </w:style>
  <w:style w:type="character" w:customStyle="1" w:styleId="Nadpis2Char">
    <w:name w:val="Nadpis 2 Char"/>
    <w:basedOn w:val="Standardnpsmoodstavce"/>
    <w:link w:val="Nadpis2"/>
    <w:uiPriority w:val="99"/>
    <w:rsid w:val="006B3C5C"/>
    <w:rPr>
      <w:rFonts w:ascii="Arial Narrow" w:eastAsia="Times New Roman" w:hAnsi="Arial Narrow" w:cs="Times New Roman"/>
      <w:b/>
      <w:bCs/>
      <w:sz w:val="2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1623">
      <w:bodyDiv w:val="1"/>
      <w:marLeft w:val="0"/>
      <w:marRight w:val="0"/>
      <w:marTop w:val="0"/>
      <w:marBottom w:val="0"/>
      <w:divBdr>
        <w:top w:val="none" w:sz="0" w:space="0" w:color="auto"/>
        <w:left w:val="none" w:sz="0" w:space="0" w:color="auto"/>
        <w:bottom w:val="none" w:sz="0" w:space="0" w:color="auto"/>
        <w:right w:val="none" w:sz="0" w:space="0" w:color="auto"/>
      </w:divBdr>
      <w:divsChild>
        <w:div w:id="61871450">
          <w:marLeft w:val="720"/>
          <w:marRight w:val="0"/>
          <w:marTop w:val="120"/>
          <w:marBottom w:val="0"/>
          <w:divBdr>
            <w:top w:val="none" w:sz="0" w:space="0" w:color="auto"/>
            <w:left w:val="none" w:sz="0" w:space="0" w:color="auto"/>
            <w:bottom w:val="none" w:sz="0" w:space="0" w:color="auto"/>
            <w:right w:val="none" w:sz="0" w:space="0" w:color="auto"/>
          </w:divBdr>
        </w:div>
        <w:div w:id="1080979957">
          <w:marLeft w:val="720"/>
          <w:marRight w:val="0"/>
          <w:marTop w:val="120"/>
          <w:marBottom w:val="0"/>
          <w:divBdr>
            <w:top w:val="none" w:sz="0" w:space="0" w:color="auto"/>
            <w:left w:val="none" w:sz="0" w:space="0" w:color="auto"/>
            <w:bottom w:val="none" w:sz="0" w:space="0" w:color="auto"/>
            <w:right w:val="none" w:sz="0" w:space="0" w:color="auto"/>
          </w:divBdr>
        </w:div>
        <w:div w:id="1689521979">
          <w:marLeft w:val="720"/>
          <w:marRight w:val="0"/>
          <w:marTop w:val="120"/>
          <w:marBottom w:val="0"/>
          <w:divBdr>
            <w:top w:val="none" w:sz="0" w:space="0" w:color="auto"/>
            <w:left w:val="none" w:sz="0" w:space="0" w:color="auto"/>
            <w:bottom w:val="none" w:sz="0" w:space="0" w:color="auto"/>
            <w:right w:val="none" w:sz="0" w:space="0" w:color="auto"/>
          </w:divBdr>
        </w:div>
        <w:div w:id="2064406209">
          <w:marLeft w:val="720"/>
          <w:marRight w:val="0"/>
          <w:marTop w:val="120"/>
          <w:marBottom w:val="0"/>
          <w:divBdr>
            <w:top w:val="none" w:sz="0" w:space="0" w:color="auto"/>
            <w:left w:val="none" w:sz="0" w:space="0" w:color="auto"/>
            <w:bottom w:val="none" w:sz="0" w:space="0" w:color="auto"/>
            <w:right w:val="none" w:sz="0" w:space="0" w:color="auto"/>
          </w:divBdr>
        </w:div>
        <w:div w:id="2081127417">
          <w:marLeft w:val="720"/>
          <w:marRight w:val="0"/>
          <w:marTop w:val="120"/>
          <w:marBottom w:val="0"/>
          <w:divBdr>
            <w:top w:val="none" w:sz="0" w:space="0" w:color="auto"/>
            <w:left w:val="none" w:sz="0" w:space="0" w:color="auto"/>
            <w:bottom w:val="none" w:sz="0" w:space="0" w:color="auto"/>
            <w:right w:val="none" w:sz="0" w:space="0" w:color="auto"/>
          </w:divBdr>
        </w:div>
      </w:divsChild>
    </w:div>
    <w:div w:id="863246447">
      <w:bodyDiv w:val="1"/>
      <w:marLeft w:val="0"/>
      <w:marRight w:val="0"/>
      <w:marTop w:val="0"/>
      <w:marBottom w:val="0"/>
      <w:divBdr>
        <w:top w:val="none" w:sz="0" w:space="0" w:color="auto"/>
        <w:left w:val="none" w:sz="0" w:space="0" w:color="auto"/>
        <w:bottom w:val="none" w:sz="0" w:space="0" w:color="auto"/>
        <w:right w:val="none" w:sz="0" w:space="0" w:color="auto"/>
      </w:divBdr>
      <w:divsChild>
        <w:div w:id="174346856">
          <w:marLeft w:val="720"/>
          <w:marRight w:val="0"/>
          <w:marTop w:val="120"/>
          <w:marBottom w:val="0"/>
          <w:divBdr>
            <w:top w:val="none" w:sz="0" w:space="0" w:color="auto"/>
            <w:left w:val="none" w:sz="0" w:space="0" w:color="auto"/>
            <w:bottom w:val="none" w:sz="0" w:space="0" w:color="auto"/>
            <w:right w:val="none" w:sz="0" w:space="0" w:color="auto"/>
          </w:divBdr>
        </w:div>
        <w:div w:id="1635599985">
          <w:marLeft w:val="720"/>
          <w:marRight w:val="0"/>
          <w:marTop w:val="120"/>
          <w:marBottom w:val="0"/>
          <w:divBdr>
            <w:top w:val="none" w:sz="0" w:space="0" w:color="auto"/>
            <w:left w:val="none" w:sz="0" w:space="0" w:color="auto"/>
            <w:bottom w:val="none" w:sz="0" w:space="0" w:color="auto"/>
            <w:right w:val="none" w:sz="0" w:space="0" w:color="auto"/>
          </w:divBdr>
        </w:div>
        <w:div w:id="1632513593">
          <w:marLeft w:val="720"/>
          <w:marRight w:val="0"/>
          <w:marTop w:val="120"/>
          <w:marBottom w:val="0"/>
          <w:divBdr>
            <w:top w:val="none" w:sz="0" w:space="0" w:color="auto"/>
            <w:left w:val="none" w:sz="0" w:space="0" w:color="auto"/>
            <w:bottom w:val="none" w:sz="0" w:space="0" w:color="auto"/>
            <w:right w:val="none" w:sz="0" w:space="0" w:color="auto"/>
          </w:divBdr>
        </w:div>
        <w:div w:id="371999404">
          <w:marLeft w:val="720"/>
          <w:marRight w:val="0"/>
          <w:marTop w:val="120"/>
          <w:marBottom w:val="0"/>
          <w:divBdr>
            <w:top w:val="none" w:sz="0" w:space="0" w:color="auto"/>
            <w:left w:val="none" w:sz="0" w:space="0" w:color="auto"/>
            <w:bottom w:val="none" w:sz="0" w:space="0" w:color="auto"/>
            <w:right w:val="none" w:sz="0" w:space="0" w:color="auto"/>
          </w:divBdr>
        </w:div>
        <w:div w:id="80794221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DCD9B0B573C3F47943A2CEBEDC09548" ma:contentTypeVersion="2" ma:contentTypeDescription="Vytvoří nový dokument" ma:contentTypeScope="" ma:versionID="25b7c45ed5f97373f6aad4d2d2e0311f">
  <xsd:schema xmlns:xsd="http://www.w3.org/2001/XMLSchema" xmlns:xs="http://www.w3.org/2001/XMLSchema" xmlns:p="http://schemas.microsoft.com/office/2006/metadata/properties" xmlns:ns1="http://schemas.microsoft.com/sharepoint/v3" xmlns:ns2="8ef3f63a-13e5-4c6a-983a-be82697c1c8c" targetNamespace="http://schemas.microsoft.com/office/2006/metadata/properties" ma:root="true" ma:fieldsID="a0eb47107e954fbc7f9ec8ea0f334acf" ns1:_="" ns2:_="">
    <xsd:import namespace="http://schemas.microsoft.com/sharepoint/v3"/>
    <xsd:import namespace="8ef3f63a-13e5-4c6a-983a-be82697c1c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3f63a-13e5-4c6a-983a-be82697c1c8c"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CF23-98FA-44AE-80C4-62942A167496}">
  <ds:schemaRefs>
    <ds:schemaRef ds:uri="http://schemas.microsoft.com/sharepoint/v3/contenttype/forms"/>
  </ds:schemaRefs>
</ds:datastoreItem>
</file>

<file path=customXml/itemProps2.xml><?xml version="1.0" encoding="utf-8"?>
<ds:datastoreItem xmlns:ds="http://schemas.openxmlformats.org/officeDocument/2006/customXml" ds:itemID="{627FCE23-0DA9-4938-B57D-7FCD0FBE463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8A4A57-301B-480D-8159-51EE46E5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f3f63a-13e5-4c6a-983a-be82697c1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CB1E7-2176-44E8-9C98-C344F6CB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1901</Words>
  <Characters>11219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Odehnal Jakub;Leopold Skoruša</dc:creator>
  <cp:lastModifiedBy>Horák Ondřej</cp:lastModifiedBy>
  <cp:revision>7</cp:revision>
  <cp:lastPrinted>2018-06-28T07:55:00Z</cp:lastPrinted>
  <dcterms:created xsi:type="dcterms:W3CDTF">2018-07-25T14:37:00Z</dcterms:created>
  <dcterms:modified xsi:type="dcterms:W3CDTF">2018-07-25T15:18:00Z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0x010100EDCD9B0B573C3F47943A2CEBEDC09548</vt:lpwstr>
  </property>
</Properties>
</file>