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C5C" w:rsidRPr="008F6E1E" w:rsidRDefault="006B3C5C" w:rsidP="00484054">
      <w:pPr>
        <w:pStyle w:val="Nadpis2"/>
        <w:numPr>
          <w:ilvl w:val="0"/>
          <w:numId w:val="0"/>
        </w:numPr>
        <w:spacing w:before="120"/>
        <w:jc w:val="center"/>
        <w:rPr>
          <w:sz w:val="32"/>
          <w:szCs w:val="32"/>
        </w:rPr>
      </w:pPr>
      <w:bookmarkStart w:id="0" w:name="_Toc427302535"/>
      <w:bookmarkStart w:id="1" w:name="_Toc518453389"/>
      <w:r w:rsidRPr="008F6E1E">
        <w:rPr>
          <w:sz w:val="32"/>
          <w:szCs w:val="32"/>
        </w:rPr>
        <w:t>Základy teorie práva</w:t>
      </w:r>
      <w:r w:rsidR="006B4884">
        <w:rPr>
          <w:sz w:val="32"/>
          <w:szCs w:val="32"/>
        </w:rPr>
        <w:t xml:space="preserve"> III.</w:t>
      </w:r>
    </w:p>
    <w:p w:rsidR="006B3C5C" w:rsidRDefault="00E434AE" w:rsidP="00DC0040">
      <w:pPr>
        <w:pStyle w:val="Nadpis2"/>
        <w:numPr>
          <w:ilvl w:val="0"/>
          <w:numId w:val="0"/>
        </w:numPr>
        <w:ind w:left="567"/>
      </w:pPr>
      <w:r>
        <w:t>Témata</w:t>
      </w:r>
      <w:r w:rsidR="008F6E1E">
        <w:t xml:space="preserve"> a rozsah</w:t>
      </w:r>
    </w:p>
    <w:p w:rsidR="006B3C5C" w:rsidRDefault="008F6E1E" w:rsidP="00484054">
      <w:pPr>
        <w:numPr>
          <w:ilvl w:val="0"/>
          <w:numId w:val="8"/>
        </w:numPr>
        <w:spacing w:before="120" w:after="0" w:line="360" w:lineRule="auto"/>
        <w:rPr>
          <w:sz w:val="24"/>
          <w:szCs w:val="24"/>
          <w:lang w:eastAsia="cs-CZ"/>
        </w:rPr>
      </w:pPr>
      <w:r w:rsidRPr="006B4884">
        <w:rPr>
          <w:sz w:val="24"/>
          <w:szCs w:val="24"/>
          <w:lang w:eastAsia="cs-CZ"/>
        </w:rPr>
        <w:t>Právní intepretace a argumentace. (2p + 2c)</w:t>
      </w:r>
    </w:p>
    <w:p w:rsidR="006B4884" w:rsidRPr="006B4884" w:rsidRDefault="006B4884" w:rsidP="00484054">
      <w:pPr>
        <w:spacing w:before="120" w:after="0" w:line="360" w:lineRule="auto"/>
        <w:ind w:left="720"/>
        <w:rPr>
          <w:sz w:val="24"/>
          <w:szCs w:val="24"/>
          <w:lang w:eastAsia="cs-CZ"/>
        </w:rPr>
      </w:pPr>
    </w:p>
    <w:p w:rsidR="006B3C5C" w:rsidRPr="000220C3" w:rsidRDefault="006B3C5C" w:rsidP="00DC0040">
      <w:pPr>
        <w:pStyle w:val="Nadpis2"/>
        <w:numPr>
          <w:ilvl w:val="0"/>
          <w:numId w:val="0"/>
        </w:numPr>
        <w:spacing w:before="0"/>
        <w:ind w:left="567"/>
      </w:pPr>
      <w:r w:rsidRPr="000220C3">
        <w:t>Kontrolní otázky</w:t>
      </w:r>
      <w:bookmarkEnd w:id="0"/>
      <w:bookmarkEnd w:id="1"/>
    </w:p>
    <w:p w:rsidR="006B4884" w:rsidRPr="006B4884" w:rsidRDefault="006B3C5C" w:rsidP="00484054">
      <w:pPr>
        <w:numPr>
          <w:ilvl w:val="0"/>
          <w:numId w:val="5"/>
        </w:numPr>
        <w:spacing w:before="120" w:after="0" w:line="360" w:lineRule="auto"/>
        <w:ind w:left="714" w:hanging="357"/>
        <w:jc w:val="both"/>
        <w:rPr>
          <w:rFonts w:cs="Arial"/>
          <w:bCs/>
          <w:sz w:val="24"/>
          <w:szCs w:val="24"/>
        </w:rPr>
      </w:pPr>
      <w:r w:rsidRPr="006B4884">
        <w:rPr>
          <w:rFonts w:cs="Arial"/>
          <w:bCs/>
          <w:sz w:val="24"/>
          <w:szCs w:val="24"/>
        </w:rPr>
        <w:t>Vysv</w:t>
      </w:r>
      <w:r w:rsidR="006B4884" w:rsidRPr="006B4884">
        <w:rPr>
          <w:rFonts w:cs="Arial"/>
          <w:bCs/>
          <w:sz w:val="24"/>
          <w:szCs w:val="24"/>
        </w:rPr>
        <w:t>ětlete pojem a funkce interpretace práva.</w:t>
      </w:r>
      <w:r w:rsidRPr="006B4884">
        <w:rPr>
          <w:rFonts w:cs="Arial"/>
          <w:bCs/>
          <w:sz w:val="24"/>
          <w:szCs w:val="24"/>
        </w:rPr>
        <w:t xml:space="preserve"> </w:t>
      </w:r>
    </w:p>
    <w:p w:rsidR="006B3C5C" w:rsidRDefault="006B4884" w:rsidP="00484054">
      <w:pPr>
        <w:numPr>
          <w:ilvl w:val="0"/>
          <w:numId w:val="5"/>
        </w:numPr>
        <w:spacing w:before="120" w:after="0" w:line="360" w:lineRule="auto"/>
        <w:jc w:val="both"/>
        <w:rPr>
          <w:rFonts w:cs="Arial"/>
          <w:bCs/>
          <w:sz w:val="24"/>
          <w:szCs w:val="24"/>
        </w:rPr>
      </w:pPr>
      <w:r w:rsidRPr="006B4884">
        <w:rPr>
          <w:rFonts w:cs="Arial"/>
          <w:bCs/>
          <w:sz w:val="24"/>
          <w:szCs w:val="24"/>
        </w:rPr>
        <w:t>Charakterizujte</w:t>
      </w:r>
      <w:r w:rsidR="006B3C5C" w:rsidRPr="006B4884">
        <w:rPr>
          <w:rFonts w:cs="Arial"/>
          <w:bCs/>
          <w:sz w:val="24"/>
          <w:szCs w:val="24"/>
        </w:rPr>
        <w:t xml:space="preserve"> jednotlivé druhy interpretace práva.</w:t>
      </w:r>
    </w:p>
    <w:p w:rsidR="006B4884" w:rsidRPr="006B4884" w:rsidRDefault="006B4884" w:rsidP="00484054">
      <w:pPr>
        <w:spacing w:before="120" w:after="0" w:line="360" w:lineRule="auto"/>
        <w:ind w:left="720"/>
        <w:jc w:val="both"/>
        <w:rPr>
          <w:rFonts w:cs="Arial"/>
          <w:bCs/>
          <w:sz w:val="24"/>
          <w:szCs w:val="24"/>
        </w:rPr>
      </w:pPr>
    </w:p>
    <w:p w:rsidR="006B3C5C" w:rsidRPr="00E434AE" w:rsidRDefault="00E434AE" w:rsidP="00DC0040">
      <w:pPr>
        <w:pStyle w:val="Nadpis2"/>
        <w:numPr>
          <w:ilvl w:val="0"/>
          <w:numId w:val="0"/>
        </w:numPr>
        <w:spacing w:before="0"/>
        <w:ind w:left="567"/>
      </w:pPr>
      <w:bookmarkStart w:id="2" w:name="_Toc518453390"/>
      <w:r>
        <w:t>Rozšiřujíc</w:t>
      </w:r>
      <w:bookmarkStart w:id="3" w:name="_GoBack"/>
      <w:bookmarkEnd w:id="3"/>
      <w:r>
        <w:t>í l</w:t>
      </w:r>
      <w:r w:rsidR="006B3C5C" w:rsidRPr="000220C3">
        <w:t>iteratura</w:t>
      </w:r>
      <w:bookmarkEnd w:id="2"/>
    </w:p>
    <w:p w:rsidR="006B3C5C" w:rsidRPr="006B4884" w:rsidRDefault="006B3C5C" w:rsidP="00484054">
      <w:pPr>
        <w:pStyle w:val="Odstavecseseznamem"/>
        <w:numPr>
          <w:ilvl w:val="0"/>
          <w:numId w:val="6"/>
        </w:numPr>
        <w:spacing w:before="120" w:after="0" w:line="360" w:lineRule="auto"/>
        <w:jc w:val="both"/>
        <w:rPr>
          <w:rFonts w:cs="Arial"/>
          <w:bCs/>
          <w:sz w:val="24"/>
          <w:szCs w:val="24"/>
        </w:rPr>
      </w:pPr>
      <w:r w:rsidRPr="006B4884">
        <w:rPr>
          <w:rFonts w:cs="Arial"/>
          <w:bCs/>
          <w:sz w:val="24"/>
          <w:szCs w:val="24"/>
        </w:rPr>
        <w:t xml:space="preserve">GERLOCH, Aleš, 2013. </w:t>
      </w:r>
      <w:r w:rsidRPr="006B4884">
        <w:rPr>
          <w:rFonts w:cs="Arial"/>
          <w:bCs/>
          <w:i/>
          <w:sz w:val="24"/>
          <w:szCs w:val="24"/>
        </w:rPr>
        <w:t>Teorie práva.</w:t>
      </w:r>
      <w:r w:rsidRPr="006B4884">
        <w:rPr>
          <w:rFonts w:cs="Arial"/>
          <w:bCs/>
          <w:sz w:val="24"/>
          <w:szCs w:val="24"/>
        </w:rPr>
        <w:t xml:space="preserve"> 6., </w:t>
      </w:r>
      <w:proofErr w:type="spellStart"/>
      <w:r w:rsidRPr="006B4884">
        <w:rPr>
          <w:rFonts w:cs="Arial"/>
          <w:bCs/>
          <w:sz w:val="24"/>
          <w:szCs w:val="24"/>
        </w:rPr>
        <w:t>aktualiz</w:t>
      </w:r>
      <w:proofErr w:type="spellEnd"/>
      <w:r w:rsidRPr="006B4884">
        <w:rPr>
          <w:rFonts w:cs="Arial"/>
          <w:bCs/>
          <w:sz w:val="24"/>
          <w:szCs w:val="24"/>
        </w:rPr>
        <w:t>. vyd. Plzeň: Vydavatelství a nakladatelství Aleš Čeněk, 310 s. ISBN 978-80-7380-454-1.</w:t>
      </w:r>
    </w:p>
    <w:p w:rsidR="006B3C5C" w:rsidRPr="006B4884" w:rsidRDefault="006B3C5C" w:rsidP="00484054">
      <w:pPr>
        <w:pStyle w:val="Odstavecseseznamem"/>
        <w:numPr>
          <w:ilvl w:val="0"/>
          <w:numId w:val="6"/>
        </w:numPr>
        <w:spacing w:before="120" w:after="0" w:line="360" w:lineRule="auto"/>
        <w:jc w:val="both"/>
        <w:rPr>
          <w:rFonts w:cs="Arial"/>
          <w:bCs/>
          <w:sz w:val="24"/>
          <w:szCs w:val="24"/>
        </w:rPr>
      </w:pPr>
      <w:r w:rsidRPr="006B4884">
        <w:rPr>
          <w:rFonts w:cs="Arial"/>
          <w:bCs/>
          <w:sz w:val="24"/>
          <w:szCs w:val="24"/>
        </w:rPr>
        <w:t xml:space="preserve">GERLOCH, Aleš, 2008. </w:t>
      </w:r>
      <w:r w:rsidRPr="006B4884">
        <w:rPr>
          <w:rFonts w:cs="Arial"/>
          <w:bCs/>
          <w:i/>
          <w:sz w:val="24"/>
          <w:szCs w:val="24"/>
        </w:rPr>
        <w:t>Teorie a praxe tvorby práva.</w:t>
      </w:r>
      <w:r w:rsidRPr="006B4884">
        <w:rPr>
          <w:rFonts w:cs="Arial"/>
          <w:bCs/>
          <w:sz w:val="24"/>
          <w:szCs w:val="24"/>
        </w:rPr>
        <w:t xml:space="preserve"> Praha: ASPI, 422 s. Právní monografie (ASPI). ISBN 978-80-7357-362-1. </w:t>
      </w:r>
    </w:p>
    <w:p w:rsidR="006B3C5C" w:rsidRPr="006B4884" w:rsidRDefault="006B3C5C" w:rsidP="00484054">
      <w:pPr>
        <w:pStyle w:val="Odstavecseseznamem"/>
        <w:numPr>
          <w:ilvl w:val="0"/>
          <w:numId w:val="6"/>
        </w:numPr>
        <w:spacing w:before="120" w:after="0" w:line="360" w:lineRule="auto"/>
        <w:jc w:val="both"/>
        <w:rPr>
          <w:rFonts w:cs="Arial"/>
          <w:bCs/>
          <w:sz w:val="24"/>
          <w:szCs w:val="24"/>
        </w:rPr>
      </w:pPr>
      <w:r w:rsidRPr="006B4884">
        <w:rPr>
          <w:rFonts w:cs="Arial"/>
          <w:bCs/>
          <w:sz w:val="24"/>
          <w:szCs w:val="24"/>
        </w:rPr>
        <w:t xml:space="preserve">HARVÁNEK, Jaromír, 2008. </w:t>
      </w:r>
      <w:r w:rsidRPr="006B4884">
        <w:rPr>
          <w:rFonts w:cs="Arial"/>
          <w:bCs/>
          <w:i/>
          <w:sz w:val="24"/>
          <w:szCs w:val="24"/>
        </w:rPr>
        <w:t>Teorie práva.</w:t>
      </w:r>
      <w:r w:rsidRPr="006B4884">
        <w:rPr>
          <w:rFonts w:cs="Arial"/>
          <w:bCs/>
          <w:sz w:val="24"/>
          <w:szCs w:val="24"/>
        </w:rPr>
        <w:t xml:space="preserve"> Plzeň: Vydavatelství a nakladatelství Aleš Čeněk, 501 s. ISBN 978-80-7380-104-5.</w:t>
      </w:r>
    </w:p>
    <w:p w:rsidR="00933418" w:rsidRPr="006B4884" w:rsidRDefault="006B3C5C" w:rsidP="00484054">
      <w:pPr>
        <w:pStyle w:val="Odstavecseseznamem"/>
        <w:numPr>
          <w:ilvl w:val="0"/>
          <w:numId w:val="6"/>
        </w:numPr>
        <w:spacing w:before="120" w:after="0" w:line="360" w:lineRule="auto"/>
        <w:jc w:val="both"/>
        <w:rPr>
          <w:rFonts w:cs="Arial"/>
          <w:bCs/>
          <w:sz w:val="24"/>
          <w:szCs w:val="24"/>
        </w:rPr>
      </w:pPr>
      <w:r w:rsidRPr="006B4884">
        <w:rPr>
          <w:rFonts w:cs="Arial"/>
          <w:bCs/>
          <w:sz w:val="24"/>
          <w:szCs w:val="24"/>
        </w:rPr>
        <w:t xml:space="preserve">OSINA, Petr, 2013. </w:t>
      </w:r>
      <w:r w:rsidRPr="006B4884">
        <w:rPr>
          <w:rFonts w:cs="Arial"/>
          <w:bCs/>
          <w:i/>
          <w:sz w:val="24"/>
          <w:szCs w:val="24"/>
        </w:rPr>
        <w:t>Teorie práva.</w:t>
      </w:r>
      <w:r w:rsidRPr="006B4884">
        <w:rPr>
          <w:rFonts w:cs="Arial"/>
          <w:bCs/>
          <w:sz w:val="24"/>
          <w:szCs w:val="24"/>
        </w:rPr>
        <w:t xml:space="preserve"> Praha: </w:t>
      </w:r>
      <w:proofErr w:type="spellStart"/>
      <w:r w:rsidRPr="006B4884">
        <w:rPr>
          <w:rFonts w:cs="Arial"/>
          <w:bCs/>
          <w:sz w:val="24"/>
          <w:szCs w:val="24"/>
        </w:rPr>
        <w:t>Leges</w:t>
      </w:r>
      <w:proofErr w:type="spellEnd"/>
      <w:r w:rsidRPr="006B4884">
        <w:rPr>
          <w:rFonts w:cs="Arial"/>
          <w:bCs/>
          <w:sz w:val="24"/>
          <w:szCs w:val="24"/>
        </w:rPr>
        <w:t>, 236 s. ISBN 978-80-87576-65-6.</w:t>
      </w:r>
    </w:p>
    <w:p w:rsidR="006B4884" w:rsidRDefault="006B4884" w:rsidP="006B4884">
      <w:pPr>
        <w:spacing w:after="0" w:line="360" w:lineRule="auto"/>
        <w:jc w:val="both"/>
        <w:rPr>
          <w:rFonts w:cs="Arial"/>
          <w:bCs/>
        </w:rPr>
      </w:pPr>
    </w:p>
    <w:p w:rsidR="006B4884" w:rsidRDefault="006B4884" w:rsidP="006B4884">
      <w:pPr>
        <w:spacing w:after="0" w:line="360" w:lineRule="auto"/>
        <w:jc w:val="both"/>
        <w:rPr>
          <w:rFonts w:cs="Arial"/>
          <w:bCs/>
        </w:rPr>
      </w:pPr>
    </w:p>
    <w:p w:rsidR="006B4884" w:rsidRDefault="006B4884" w:rsidP="006B4884">
      <w:pPr>
        <w:spacing w:after="0" w:line="360" w:lineRule="auto"/>
        <w:jc w:val="both"/>
        <w:rPr>
          <w:rFonts w:cs="Arial"/>
          <w:bCs/>
        </w:rPr>
      </w:pPr>
    </w:p>
    <w:p w:rsidR="006B4884" w:rsidRDefault="006B4884" w:rsidP="006B4884">
      <w:pPr>
        <w:spacing w:after="0" w:line="360" w:lineRule="auto"/>
        <w:jc w:val="both"/>
        <w:rPr>
          <w:rFonts w:cs="Arial"/>
          <w:bCs/>
        </w:rPr>
      </w:pPr>
    </w:p>
    <w:p w:rsidR="006B4884" w:rsidRDefault="006B4884" w:rsidP="006B4884">
      <w:pPr>
        <w:spacing w:after="0" w:line="360" w:lineRule="auto"/>
        <w:jc w:val="both"/>
        <w:rPr>
          <w:rFonts w:cs="Arial"/>
          <w:bCs/>
        </w:rPr>
      </w:pPr>
    </w:p>
    <w:p w:rsidR="006B4884" w:rsidRDefault="006B4884" w:rsidP="006B4884">
      <w:pPr>
        <w:spacing w:after="0" w:line="360" w:lineRule="auto"/>
        <w:jc w:val="both"/>
        <w:rPr>
          <w:rFonts w:cs="Arial"/>
          <w:bCs/>
        </w:rPr>
      </w:pPr>
    </w:p>
    <w:p w:rsidR="006B4884" w:rsidRDefault="006B4884" w:rsidP="006B4884">
      <w:pPr>
        <w:spacing w:after="0" w:line="360" w:lineRule="auto"/>
        <w:jc w:val="both"/>
        <w:rPr>
          <w:rFonts w:cs="Arial"/>
          <w:bCs/>
        </w:rPr>
      </w:pPr>
    </w:p>
    <w:p w:rsidR="006B4884" w:rsidRDefault="006B4884" w:rsidP="006B4884">
      <w:pPr>
        <w:spacing w:after="0" w:line="360" w:lineRule="auto"/>
        <w:jc w:val="both"/>
        <w:rPr>
          <w:rFonts w:cs="Arial"/>
          <w:bCs/>
        </w:rPr>
      </w:pPr>
    </w:p>
    <w:p w:rsidR="006B4884" w:rsidRDefault="006B4884" w:rsidP="006B4884">
      <w:pPr>
        <w:spacing w:after="0" w:line="360" w:lineRule="auto"/>
        <w:jc w:val="both"/>
        <w:rPr>
          <w:rFonts w:cs="Arial"/>
          <w:bCs/>
        </w:rPr>
      </w:pPr>
    </w:p>
    <w:p w:rsidR="006B4884" w:rsidRDefault="006B4884" w:rsidP="006B4884">
      <w:pPr>
        <w:spacing w:after="0" w:line="360" w:lineRule="auto"/>
        <w:jc w:val="both"/>
        <w:rPr>
          <w:rFonts w:cs="Arial"/>
          <w:bCs/>
        </w:rPr>
      </w:pPr>
    </w:p>
    <w:p w:rsidR="006B4884" w:rsidRDefault="006B4884" w:rsidP="006B4884">
      <w:pPr>
        <w:spacing w:after="0" w:line="360" w:lineRule="auto"/>
        <w:jc w:val="both"/>
        <w:rPr>
          <w:rFonts w:cs="Arial"/>
          <w:bCs/>
        </w:rPr>
      </w:pPr>
    </w:p>
    <w:p w:rsidR="006B4884" w:rsidRDefault="006B4884" w:rsidP="006B4884">
      <w:pPr>
        <w:spacing w:after="0" w:line="360" w:lineRule="auto"/>
        <w:jc w:val="both"/>
        <w:rPr>
          <w:rFonts w:cs="Arial"/>
          <w:bCs/>
        </w:rPr>
      </w:pPr>
    </w:p>
    <w:p w:rsidR="006B4884" w:rsidRDefault="006B4884" w:rsidP="006B4884">
      <w:pPr>
        <w:spacing w:after="0" w:line="360" w:lineRule="auto"/>
        <w:jc w:val="both"/>
        <w:rPr>
          <w:rFonts w:cs="Arial"/>
          <w:bCs/>
        </w:rPr>
      </w:pPr>
    </w:p>
    <w:p w:rsidR="006B4884" w:rsidRPr="000220C3" w:rsidRDefault="006B4884" w:rsidP="006B4884">
      <w:pPr>
        <w:pStyle w:val="Nadpis2"/>
        <w:numPr>
          <w:ilvl w:val="0"/>
          <w:numId w:val="0"/>
        </w:numPr>
        <w:spacing w:before="120"/>
      </w:pPr>
      <w:bookmarkStart w:id="4" w:name="_Toc427302530"/>
      <w:bookmarkStart w:id="5" w:name="_Toc518453384"/>
      <w:r w:rsidRPr="000220C3">
        <w:lastRenderedPageBreak/>
        <w:t>Interpretace práva</w:t>
      </w:r>
      <w:bookmarkEnd w:id="4"/>
      <w:bookmarkEnd w:id="5"/>
    </w:p>
    <w:p w:rsidR="006B4884" w:rsidRPr="006B4884" w:rsidRDefault="006B4884" w:rsidP="006B4884">
      <w:pPr>
        <w:spacing w:before="120" w:after="0" w:line="360" w:lineRule="auto"/>
        <w:rPr>
          <w:rFonts w:cs="Arial"/>
          <w:sz w:val="24"/>
          <w:szCs w:val="24"/>
        </w:rPr>
      </w:pPr>
      <w:r w:rsidRPr="006B4884">
        <w:rPr>
          <w:rFonts w:cs="Arial"/>
          <w:b/>
          <w:sz w:val="24"/>
          <w:szCs w:val="24"/>
        </w:rPr>
        <w:t>Interpretace práva</w:t>
      </w:r>
      <w:r w:rsidRPr="006B4884">
        <w:rPr>
          <w:rFonts w:cs="Arial"/>
          <w:sz w:val="24"/>
          <w:szCs w:val="24"/>
        </w:rPr>
        <w:t xml:space="preserve"> znamená výklad práva, zejména pak právního textu. Interpretace práva se vymezuje jako duševní činnost, kterou se zjišťuje obsah právní normy a její místo v systému právní regulace. Lze ji vymezit jako duševní proces, v němž člověk postihuje skutečnost prostřednictvím něčeho, co o dané situaci vypovídá (</w:t>
      </w:r>
      <w:proofErr w:type="spellStart"/>
      <w:r w:rsidRPr="006B4884">
        <w:rPr>
          <w:rFonts w:cs="Arial"/>
          <w:sz w:val="24"/>
          <w:szCs w:val="24"/>
        </w:rPr>
        <w:t>Harvánek</w:t>
      </w:r>
      <w:proofErr w:type="spellEnd"/>
      <w:r w:rsidRPr="006B4884">
        <w:rPr>
          <w:rFonts w:cs="Arial"/>
          <w:sz w:val="24"/>
          <w:szCs w:val="24"/>
        </w:rPr>
        <w:t xml:space="preserve"> 2008). Jejím cílem je objasnit smysl textu, s ohledem na následnou aplikaci či jinou formu realizace práva, ale i z pedagogických a vědeckých důvodů.</w:t>
      </w:r>
    </w:p>
    <w:p w:rsidR="006B4884" w:rsidRPr="006B4884" w:rsidRDefault="006B4884" w:rsidP="006B4884">
      <w:pPr>
        <w:spacing w:before="120" w:after="0" w:line="360" w:lineRule="auto"/>
        <w:rPr>
          <w:rFonts w:cs="Arial"/>
          <w:sz w:val="24"/>
          <w:szCs w:val="24"/>
        </w:rPr>
      </w:pPr>
      <w:r w:rsidRPr="006B4884">
        <w:rPr>
          <w:rFonts w:cs="Arial"/>
          <w:sz w:val="24"/>
          <w:szCs w:val="24"/>
        </w:rPr>
        <w:tab/>
        <w:t xml:space="preserve">Interpretace tak plní: </w:t>
      </w:r>
    </w:p>
    <w:p w:rsidR="006B4884" w:rsidRPr="006B4884" w:rsidRDefault="006B4884" w:rsidP="006B4884">
      <w:pPr>
        <w:numPr>
          <w:ilvl w:val="0"/>
          <w:numId w:val="9"/>
        </w:numPr>
        <w:spacing w:before="120" w:after="0" w:line="360" w:lineRule="auto"/>
        <w:jc w:val="both"/>
        <w:rPr>
          <w:rFonts w:cs="Arial"/>
          <w:sz w:val="24"/>
          <w:szCs w:val="24"/>
        </w:rPr>
      </w:pPr>
      <w:r w:rsidRPr="006B4884">
        <w:rPr>
          <w:rFonts w:cs="Arial"/>
          <w:sz w:val="24"/>
          <w:szCs w:val="24"/>
        </w:rPr>
        <w:t xml:space="preserve">funkci poznávací (kognitivní), umožňuje zjistit obsah právní normy, </w:t>
      </w:r>
    </w:p>
    <w:p w:rsidR="006B4884" w:rsidRPr="006B4884" w:rsidRDefault="006B4884" w:rsidP="006B4884">
      <w:pPr>
        <w:numPr>
          <w:ilvl w:val="0"/>
          <w:numId w:val="9"/>
        </w:numPr>
        <w:spacing w:before="120" w:after="0" w:line="360" w:lineRule="auto"/>
        <w:jc w:val="both"/>
        <w:rPr>
          <w:rFonts w:cs="Arial"/>
          <w:sz w:val="24"/>
          <w:szCs w:val="24"/>
        </w:rPr>
      </w:pPr>
      <w:r w:rsidRPr="006B4884">
        <w:rPr>
          <w:rFonts w:cs="Arial"/>
          <w:sz w:val="24"/>
          <w:szCs w:val="24"/>
        </w:rPr>
        <w:t xml:space="preserve">funkci vysvětlující (explikativní), tj. napomáhá odstranit nejasnosti v obsahu textu, </w:t>
      </w:r>
    </w:p>
    <w:p w:rsidR="006B4884" w:rsidRPr="006B4884" w:rsidRDefault="006B4884" w:rsidP="006B4884">
      <w:pPr>
        <w:numPr>
          <w:ilvl w:val="0"/>
          <w:numId w:val="9"/>
        </w:numPr>
        <w:spacing w:before="120" w:after="0" w:line="360" w:lineRule="auto"/>
        <w:jc w:val="both"/>
        <w:rPr>
          <w:rFonts w:cs="Arial"/>
          <w:sz w:val="24"/>
          <w:szCs w:val="24"/>
        </w:rPr>
      </w:pPr>
      <w:r w:rsidRPr="006B4884">
        <w:rPr>
          <w:rFonts w:cs="Arial"/>
          <w:sz w:val="24"/>
          <w:szCs w:val="24"/>
        </w:rPr>
        <w:t>funkce mocensko-organizační spočívá v pravomoci některých institucí k výkladu právního textu,</w:t>
      </w:r>
    </w:p>
    <w:p w:rsidR="006B4884" w:rsidRPr="006B4884" w:rsidRDefault="006B4884" w:rsidP="006B4884">
      <w:pPr>
        <w:numPr>
          <w:ilvl w:val="0"/>
          <w:numId w:val="9"/>
        </w:numPr>
        <w:spacing w:before="120" w:after="0" w:line="360" w:lineRule="auto"/>
        <w:jc w:val="both"/>
        <w:rPr>
          <w:rFonts w:cs="Arial"/>
          <w:sz w:val="24"/>
          <w:szCs w:val="24"/>
        </w:rPr>
      </w:pPr>
      <w:r w:rsidRPr="006B4884">
        <w:rPr>
          <w:rFonts w:cs="Arial"/>
          <w:sz w:val="24"/>
          <w:szCs w:val="24"/>
        </w:rPr>
        <w:t>konečně funkce argumentační představuje výsledek interpretace jako argumenty v právním sporu.</w:t>
      </w:r>
    </w:p>
    <w:p w:rsidR="006B4884" w:rsidRPr="006B4884" w:rsidRDefault="006B4884" w:rsidP="006B4884">
      <w:pPr>
        <w:spacing w:before="120" w:after="0" w:line="360" w:lineRule="auto"/>
        <w:ind w:firstLine="708"/>
        <w:rPr>
          <w:rFonts w:cs="Arial"/>
          <w:sz w:val="24"/>
          <w:szCs w:val="24"/>
        </w:rPr>
      </w:pPr>
      <w:r w:rsidRPr="006B4884">
        <w:rPr>
          <w:rFonts w:cs="Arial"/>
          <w:sz w:val="24"/>
          <w:szCs w:val="24"/>
        </w:rPr>
        <w:t xml:space="preserve">Výklad lze klasifikovat podle několika kritérií, zejména podle: </w:t>
      </w:r>
    </w:p>
    <w:p w:rsidR="006B4884" w:rsidRPr="006B4884" w:rsidRDefault="006B4884" w:rsidP="006B4884">
      <w:pPr>
        <w:numPr>
          <w:ilvl w:val="0"/>
          <w:numId w:val="10"/>
        </w:numPr>
        <w:spacing w:before="120" w:after="0" w:line="360" w:lineRule="auto"/>
        <w:jc w:val="both"/>
        <w:rPr>
          <w:rFonts w:cs="Arial"/>
          <w:sz w:val="24"/>
          <w:szCs w:val="24"/>
        </w:rPr>
      </w:pPr>
      <w:r w:rsidRPr="006B4884">
        <w:rPr>
          <w:rFonts w:cs="Arial"/>
          <w:sz w:val="24"/>
          <w:szCs w:val="24"/>
        </w:rPr>
        <w:t xml:space="preserve">subjektu podávajícího výklad, </w:t>
      </w:r>
    </w:p>
    <w:p w:rsidR="006B4884" w:rsidRPr="006B4884" w:rsidRDefault="006B4884" w:rsidP="006B4884">
      <w:pPr>
        <w:numPr>
          <w:ilvl w:val="0"/>
          <w:numId w:val="10"/>
        </w:numPr>
        <w:spacing w:before="120" w:after="0" w:line="360" w:lineRule="auto"/>
        <w:jc w:val="both"/>
        <w:rPr>
          <w:rFonts w:cs="Arial"/>
          <w:sz w:val="24"/>
          <w:szCs w:val="24"/>
        </w:rPr>
      </w:pPr>
      <w:r w:rsidRPr="006B4884">
        <w:rPr>
          <w:rFonts w:cs="Arial"/>
          <w:sz w:val="24"/>
          <w:szCs w:val="24"/>
        </w:rPr>
        <w:t xml:space="preserve">dále podle metody výkladu </w:t>
      </w:r>
    </w:p>
    <w:p w:rsidR="006B4884" w:rsidRPr="006B4884" w:rsidRDefault="006B4884" w:rsidP="006B4884">
      <w:pPr>
        <w:numPr>
          <w:ilvl w:val="0"/>
          <w:numId w:val="10"/>
        </w:numPr>
        <w:spacing w:before="120" w:after="0" w:line="360" w:lineRule="auto"/>
        <w:jc w:val="both"/>
        <w:rPr>
          <w:rFonts w:cs="Arial"/>
          <w:sz w:val="24"/>
          <w:szCs w:val="24"/>
        </w:rPr>
      </w:pPr>
      <w:r w:rsidRPr="006B4884">
        <w:rPr>
          <w:rFonts w:cs="Arial"/>
          <w:sz w:val="24"/>
          <w:szCs w:val="24"/>
        </w:rPr>
        <w:t>a také např. podle dosahu výkladu.</w:t>
      </w:r>
    </w:p>
    <w:p w:rsidR="006B4884" w:rsidRPr="006B4884" w:rsidRDefault="006B4884" w:rsidP="006B4884">
      <w:pPr>
        <w:spacing w:before="120" w:after="0" w:line="360" w:lineRule="auto"/>
        <w:rPr>
          <w:rFonts w:cs="Arial"/>
          <w:sz w:val="24"/>
          <w:szCs w:val="24"/>
        </w:rPr>
      </w:pPr>
      <w:r w:rsidRPr="006B4884">
        <w:rPr>
          <w:rFonts w:cs="Arial"/>
          <w:b/>
          <w:sz w:val="24"/>
          <w:szCs w:val="24"/>
        </w:rPr>
        <w:tab/>
        <w:t>Podle subjektu provádějícího interpretaci</w:t>
      </w:r>
      <w:r w:rsidRPr="006B4884">
        <w:rPr>
          <w:rFonts w:cs="Arial"/>
          <w:sz w:val="24"/>
          <w:szCs w:val="24"/>
        </w:rPr>
        <w:t xml:space="preserve"> právního textu lze lišit výklad orgánů veřejné moci (tzv. autoritativní výklad) na straně jedné a výklad ostatních subjektů na straně druhé. Výklad orgánů veřejné moci (autoritativní) je reprezentován výkladem ze strany Ústavního soudu, který jej provádí v souladu s ustanovením čl. 87 Ústavy (závazný), dále výklad vyšších soudů, který přispívá ke sjednocení rozhodovací činnosti nižších soudů. Do tohoto druhu výkladu náleží dále výklad orgánů aplikujících právo (státních orgánů), výklad tzv. autentický, který podává sám tvůrce právního textu a oficiální výklad, který činí nadřízený (správní) orgán. Interpretaci ovšem mohou provádět i ostatní subjekty, pak se hovoří o doktrinálním výkladu (také se používá označení vědecký výklad, např. komentář k </w:t>
      </w:r>
      <w:r w:rsidRPr="006B4884">
        <w:rPr>
          <w:rFonts w:cs="Arial"/>
          <w:sz w:val="24"/>
          <w:szCs w:val="24"/>
        </w:rPr>
        <w:lastRenderedPageBreak/>
        <w:t>zákonu, monografie), dále o výkladu právní praxe (např. advokátem) či laickém výkladu (např. na diskusních fórech).</w:t>
      </w:r>
    </w:p>
    <w:p w:rsidR="006B4884" w:rsidRPr="006B4884" w:rsidRDefault="006B4884" w:rsidP="006B4884">
      <w:pPr>
        <w:spacing w:before="120" w:after="0" w:line="360" w:lineRule="auto"/>
        <w:rPr>
          <w:rFonts w:cs="Arial"/>
          <w:sz w:val="24"/>
          <w:szCs w:val="24"/>
        </w:rPr>
      </w:pPr>
      <w:r w:rsidRPr="006B4884">
        <w:rPr>
          <w:rFonts w:cs="Arial"/>
          <w:b/>
          <w:sz w:val="24"/>
          <w:szCs w:val="24"/>
        </w:rPr>
        <w:tab/>
        <w:t>Podle metody výkladu</w:t>
      </w:r>
      <w:r w:rsidRPr="006B4884">
        <w:rPr>
          <w:rFonts w:cs="Arial"/>
          <w:sz w:val="24"/>
          <w:szCs w:val="24"/>
        </w:rPr>
        <w:t xml:space="preserve"> lze rozlišovat výklad jazykový (výklad syntaktický, gramatický a sémantický, tedy výklad textu podle složení věty, významu slov či slovních spojení), výklad logický (využití právní logiky – např. důkazu z opaku, důkazu vyloučením, úsudku od silnějšího ke slabšímu, analogie či důkazu ad absurdum), systematický výklad (výklad jednotlivých ustanovení v souvislostech s jinými ustanovení – např. přednost normy speciální před normou obecnou), teleologický výklad (výklad sleduje účel právní normy, resp. právního předpisu), historický výklad (bere v potaz okolnosti, za kterých byl předpis vydán) a konečně srovnávací (komparativní) výklad (výklad prováděný srovnáním např. se zahraniční právní úpravou, judikaturou apod.). </w:t>
      </w:r>
    </w:p>
    <w:p w:rsidR="006B4884" w:rsidRPr="000220C3" w:rsidRDefault="006B4884" w:rsidP="006B4884">
      <w:pPr>
        <w:spacing w:before="120" w:after="0" w:line="360" w:lineRule="auto"/>
        <w:rPr>
          <w:rFonts w:cs="Arial"/>
        </w:rPr>
      </w:pPr>
      <w:r w:rsidRPr="006B4884">
        <w:rPr>
          <w:rFonts w:cs="Arial"/>
          <w:b/>
          <w:sz w:val="24"/>
          <w:szCs w:val="24"/>
        </w:rPr>
        <w:tab/>
        <w:t>Podle dosahu (rozsahu) výkladu</w:t>
      </w:r>
      <w:r w:rsidRPr="006B4884">
        <w:rPr>
          <w:rFonts w:cs="Arial"/>
          <w:sz w:val="24"/>
          <w:szCs w:val="24"/>
        </w:rPr>
        <w:t xml:space="preserve"> lze vymezit výklad doslovný, zužující (který stanovuje rozsah právní normy úžeji než text) a rozšiřující (širší výklad právní normy než textu).</w:t>
      </w:r>
    </w:p>
    <w:p w:rsidR="006B4884" w:rsidRPr="006B4884" w:rsidRDefault="006B4884" w:rsidP="006B4884">
      <w:pPr>
        <w:spacing w:after="0" w:line="360" w:lineRule="auto"/>
        <w:jc w:val="both"/>
        <w:rPr>
          <w:rFonts w:cs="Arial"/>
          <w:bCs/>
        </w:rPr>
      </w:pPr>
    </w:p>
    <w:sectPr w:rsidR="006B4884" w:rsidRPr="006B4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0BA2"/>
    <w:multiLevelType w:val="hybridMultilevel"/>
    <w:tmpl w:val="DEA4B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7F5A72"/>
    <w:multiLevelType w:val="hybridMultilevel"/>
    <w:tmpl w:val="43BA8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0836BF"/>
    <w:multiLevelType w:val="hybridMultilevel"/>
    <w:tmpl w:val="66740D3A"/>
    <w:lvl w:ilvl="0" w:tplc="E38E4374">
      <w:start w:val="1"/>
      <w:numFmt w:val="decimal"/>
      <w:lvlText w:val="%1."/>
      <w:lvlJc w:val="left"/>
      <w:pPr>
        <w:tabs>
          <w:tab w:val="num" w:pos="720"/>
        </w:tabs>
        <w:ind w:left="720" w:hanging="360"/>
      </w:pPr>
      <w:rPr>
        <w:rFonts w:asciiTheme="minorHAnsi" w:eastAsiaTheme="minorHAnsi" w:hAnsiTheme="minorHAnsi" w:cstheme="minorBidi"/>
      </w:rPr>
    </w:lvl>
    <w:lvl w:ilvl="1" w:tplc="BEE842BC" w:tentative="1">
      <w:start w:val="1"/>
      <w:numFmt w:val="bullet"/>
      <w:lvlText w:val=""/>
      <w:lvlJc w:val="left"/>
      <w:pPr>
        <w:tabs>
          <w:tab w:val="num" w:pos="1440"/>
        </w:tabs>
        <w:ind w:left="1440" w:hanging="360"/>
      </w:pPr>
      <w:rPr>
        <w:rFonts w:ascii="Wingdings" w:hAnsi="Wingdings" w:hint="default"/>
      </w:rPr>
    </w:lvl>
    <w:lvl w:ilvl="2" w:tplc="9950273C" w:tentative="1">
      <w:start w:val="1"/>
      <w:numFmt w:val="bullet"/>
      <w:lvlText w:val=""/>
      <w:lvlJc w:val="left"/>
      <w:pPr>
        <w:tabs>
          <w:tab w:val="num" w:pos="2160"/>
        </w:tabs>
        <w:ind w:left="2160" w:hanging="360"/>
      </w:pPr>
      <w:rPr>
        <w:rFonts w:ascii="Wingdings" w:hAnsi="Wingdings" w:hint="default"/>
      </w:rPr>
    </w:lvl>
    <w:lvl w:ilvl="3" w:tplc="A3127184" w:tentative="1">
      <w:start w:val="1"/>
      <w:numFmt w:val="bullet"/>
      <w:lvlText w:val=""/>
      <w:lvlJc w:val="left"/>
      <w:pPr>
        <w:tabs>
          <w:tab w:val="num" w:pos="2880"/>
        </w:tabs>
        <w:ind w:left="2880" w:hanging="360"/>
      </w:pPr>
      <w:rPr>
        <w:rFonts w:ascii="Wingdings" w:hAnsi="Wingdings" w:hint="default"/>
      </w:rPr>
    </w:lvl>
    <w:lvl w:ilvl="4" w:tplc="305473BA" w:tentative="1">
      <w:start w:val="1"/>
      <w:numFmt w:val="bullet"/>
      <w:lvlText w:val=""/>
      <w:lvlJc w:val="left"/>
      <w:pPr>
        <w:tabs>
          <w:tab w:val="num" w:pos="3600"/>
        </w:tabs>
        <w:ind w:left="3600" w:hanging="360"/>
      </w:pPr>
      <w:rPr>
        <w:rFonts w:ascii="Wingdings" w:hAnsi="Wingdings" w:hint="default"/>
      </w:rPr>
    </w:lvl>
    <w:lvl w:ilvl="5" w:tplc="34DAF208" w:tentative="1">
      <w:start w:val="1"/>
      <w:numFmt w:val="bullet"/>
      <w:lvlText w:val=""/>
      <w:lvlJc w:val="left"/>
      <w:pPr>
        <w:tabs>
          <w:tab w:val="num" w:pos="4320"/>
        </w:tabs>
        <w:ind w:left="4320" w:hanging="360"/>
      </w:pPr>
      <w:rPr>
        <w:rFonts w:ascii="Wingdings" w:hAnsi="Wingdings" w:hint="default"/>
      </w:rPr>
    </w:lvl>
    <w:lvl w:ilvl="6" w:tplc="C9B4BC28" w:tentative="1">
      <w:start w:val="1"/>
      <w:numFmt w:val="bullet"/>
      <w:lvlText w:val=""/>
      <w:lvlJc w:val="left"/>
      <w:pPr>
        <w:tabs>
          <w:tab w:val="num" w:pos="5040"/>
        </w:tabs>
        <w:ind w:left="5040" w:hanging="360"/>
      </w:pPr>
      <w:rPr>
        <w:rFonts w:ascii="Wingdings" w:hAnsi="Wingdings" w:hint="default"/>
      </w:rPr>
    </w:lvl>
    <w:lvl w:ilvl="7" w:tplc="F4CE32FA" w:tentative="1">
      <w:start w:val="1"/>
      <w:numFmt w:val="bullet"/>
      <w:lvlText w:val=""/>
      <w:lvlJc w:val="left"/>
      <w:pPr>
        <w:tabs>
          <w:tab w:val="num" w:pos="5760"/>
        </w:tabs>
        <w:ind w:left="5760" w:hanging="360"/>
      </w:pPr>
      <w:rPr>
        <w:rFonts w:ascii="Wingdings" w:hAnsi="Wingdings" w:hint="default"/>
      </w:rPr>
    </w:lvl>
    <w:lvl w:ilvl="8" w:tplc="F8D6C5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9E718B"/>
    <w:multiLevelType w:val="multilevel"/>
    <w:tmpl w:val="644AF0A0"/>
    <w:lvl w:ilvl="0">
      <w:start w:val="1"/>
      <w:numFmt w:val="decimal"/>
      <w:pStyle w:val="Nadpis1"/>
      <w:lvlText w:val="%1"/>
      <w:lvlJc w:val="left"/>
      <w:pPr>
        <w:ind w:left="720" w:hanging="360"/>
      </w:pPr>
      <w:rPr>
        <w:rFonts w:cs="Times New Roman" w:hint="default"/>
      </w:rPr>
    </w:lvl>
    <w:lvl w:ilvl="1">
      <w:start w:val="1"/>
      <w:numFmt w:val="decimal"/>
      <w:pStyle w:val="Nadpis2"/>
      <w:isLgl/>
      <w:lvlText w:val="%1.%2"/>
      <w:lvlJc w:val="left"/>
      <w:pPr>
        <w:ind w:left="1417" w:hanging="708"/>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 w15:restartNumberingAfterBreak="0">
    <w:nsid w:val="45325063"/>
    <w:multiLevelType w:val="hybridMultilevel"/>
    <w:tmpl w:val="5DB2E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E1371B9"/>
    <w:multiLevelType w:val="hybridMultilevel"/>
    <w:tmpl w:val="4B5A2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E933B6D"/>
    <w:multiLevelType w:val="hybridMultilevel"/>
    <w:tmpl w:val="4BE873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E946CD8"/>
    <w:multiLevelType w:val="multilevel"/>
    <w:tmpl w:val="D9449A3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6F6E2715"/>
    <w:multiLevelType w:val="hybridMultilevel"/>
    <w:tmpl w:val="F200973C"/>
    <w:lvl w:ilvl="0" w:tplc="D336653C">
      <w:start w:val="1"/>
      <w:numFmt w:val="bullet"/>
      <w:lvlText w:val=""/>
      <w:lvlJc w:val="left"/>
      <w:pPr>
        <w:tabs>
          <w:tab w:val="num" w:pos="720"/>
        </w:tabs>
        <w:ind w:left="720" w:hanging="360"/>
      </w:pPr>
      <w:rPr>
        <w:rFonts w:ascii="Symbol" w:hAnsi="Symbol" w:hint="default"/>
      </w:rPr>
    </w:lvl>
    <w:lvl w:ilvl="1" w:tplc="70B8DD3E" w:tentative="1">
      <w:start w:val="1"/>
      <w:numFmt w:val="bullet"/>
      <w:lvlText w:val=""/>
      <w:lvlJc w:val="left"/>
      <w:pPr>
        <w:tabs>
          <w:tab w:val="num" w:pos="1440"/>
        </w:tabs>
        <w:ind w:left="1440" w:hanging="360"/>
      </w:pPr>
      <w:rPr>
        <w:rFonts w:ascii="Wingdings" w:hAnsi="Wingdings" w:hint="default"/>
      </w:rPr>
    </w:lvl>
    <w:lvl w:ilvl="2" w:tplc="459C075A" w:tentative="1">
      <w:start w:val="1"/>
      <w:numFmt w:val="bullet"/>
      <w:lvlText w:val=""/>
      <w:lvlJc w:val="left"/>
      <w:pPr>
        <w:tabs>
          <w:tab w:val="num" w:pos="2160"/>
        </w:tabs>
        <w:ind w:left="2160" w:hanging="360"/>
      </w:pPr>
      <w:rPr>
        <w:rFonts w:ascii="Wingdings" w:hAnsi="Wingdings" w:hint="default"/>
      </w:rPr>
    </w:lvl>
    <w:lvl w:ilvl="3" w:tplc="5434C0FC" w:tentative="1">
      <w:start w:val="1"/>
      <w:numFmt w:val="bullet"/>
      <w:lvlText w:val=""/>
      <w:lvlJc w:val="left"/>
      <w:pPr>
        <w:tabs>
          <w:tab w:val="num" w:pos="2880"/>
        </w:tabs>
        <w:ind w:left="2880" w:hanging="360"/>
      </w:pPr>
      <w:rPr>
        <w:rFonts w:ascii="Wingdings" w:hAnsi="Wingdings" w:hint="default"/>
      </w:rPr>
    </w:lvl>
    <w:lvl w:ilvl="4" w:tplc="184A4392" w:tentative="1">
      <w:start w:val="1"/>
      <w:numFmt w:val="bullet"/>
      <w:lvlText w:val=""/>
      <w:lvlJc w:val="left"/>
      <w:pPr>
        <w:tabs>
          <w:tab w:val="num" w:pos="3600"/>
        </w:tabs>
        <w:ind w:left="3600" w:hanging="360"/>
      </w:pPr>
      <w:rPr>
        <w:rFonts w:ascii="Wingdings" w:hAnsi="Wingdings" w:hint="default"/>
      </w:rPr>
    </w:lvl>
    <w:lvl w:ilvl="5" w:tplc="8ABA8604" w:tentative="1">
      <w:start w:val="1"/>
      <w:numFmt w:val="bullet"/>
      <w:lvlText w:val=""/>
      <w:lvlJc w:val="left"/>
      <w:pPr>
        <w:tabs>
          <w:tab w:val="num" w:pos="4320"/>
        </w:tabs>
        <w:ind w:left="4320" w:hanging="360"/>
      </w:pPr>
      <w:rPr>
        <w:rFonts w:ascii="Wingdings" w:hAnsi="Wingdings" w:hint="default"/>
      </w:rPr>
    </w:lvl>
    <w:lvl w:ilvl="6" w:tplc="CEC27EDC" w:tentative="1">
      <w:start w:val="1"/>
      <w:numFmt w:val="bullet"/>
      <w:lvlText w:val=""/>
      <w:lvlJc w:val="left"/>
      <w:pPr>
        <w:tabs>
          <w:tab w:val="num" w:pos="5040"/>
        </w:tabs>
        <w:ind w:left="5040" w:hanging="360"/>
      </w:pPr>
      <w:rPr>
        <w:rFonts w:ascii="Wingdings" w:hAnsi="Wingdings" w:hint="default"/>
      </w:rPr>
    </w:lvl>
    <w:lvl w:ilvl="7" w:tplc="3370ADAE" w:tentative="1">
      <w:start w:val="1"/>
      <w:numFmt w:val="bullet"/>
      <w:lvlText w:val=""/>
      <w:lvlJc w:val="left"/>
      <w:pPr>
        <w:tabs>
          <w:tab w:val="num" w:pos="5760"/>
        </w:tabs>
        <w:ind w:left="5760" w:hanging="360"/>
      </w:pPr>
      <w:rPr>
        <w:rFonts w:ascii="Wingdings" w:hAnsi="Wingdings" w:hint="default"/>
      </w:rPr>
    </w:lvl>
    <w:lvl w:ilvl="8" w:tplc="6A26CEC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7"/>
  </w:num>
  <w:num w:numId="6">
    <w:abstractNumId w:val="1"/>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18"/>
    <w:rsid w:val="00026740"/>
    <w:rsid w:val="0005382A"/>
    <w:rsid w:val="00062FDB"/>
    <w:rsid w:val="00075EED"/>
    <w:rsid w:val="001B29B9"/>
    <w:rsid w:val="001B5189"/>
    <w:rsid w:val="002038BC"/>
    <w:rsid w:val="00211FF0"/>
    <w:rsid w:val="0023301A"/>
    <w:rsid w:val="002935D1"/>
    <w:rsid w:val="003212F6"/>
    <w:rsid w:val="003733E6"/>
    <w:rsid w:val="003C73E9"/>
    <w:rsid w:val="003E6083"/>
    <w:rsid w:val="00413B80"/>
    <w:rsid w:val="004226CF"/>
    <w:rsid w:val="00484054"/>
    <w:rsid w:val="004A00C8"/>
    <w:rsid w:val="004C6F94"/>
    <w:rsid w:val="004E647B"/>
    <w:rsid w:val="005B1FE7"/>
    <w:rsid w:val="005C27FF"/>
    <w:rsid w:val="005D4EEC"/>
    <w:rsid w:val="00675D4B"/>
    <w:rsid w:val="006B3C5C"/>
    <w:rsid w:val="006B4884"/>
    <w:rsid w:val="006D1C76"/>
    <w:rsid w:val="006F1526"/>
    <w:rsid w:val="006F697E"/>
    <w:rsid w:val="006F77AA"/>
    <w:rsid w:val="00741A70"/>
    <w:rsid w:val="0077129A"/>
    <w:rsid w:val="0077553A"/>
    <w:rsid w:val="0078384D"/>
    <w:rsid w:val="007C160F"/>
    <w:rsid w:val="00825C52"/>
    <w:rsid w:val="00826C0D"/>
    <w:rsid w:val="0083463B"/>
    <w:rsid w:val="00880E2F"/>
    <w:rsid w:val="008B5E68"/>
    <w:rsid w:val="008B6378"/>
    <w:rsid w:val="008C1258"/>
    <w:rsid w:val="008F6E1E"/>
    <w:rsid w:val="009052DF"/>
    <w:rsid w:val="00914708"/>
    <w:rsid w:val="00933418"/>
    <w:rsid w:val="00950490"/>
    <w:rsid w:val="009A02E9"/>
    <w:rsid w:val="009E6DF0"/>
    <w:rsid w:val="009F61A9"/>
    <w:rsid w:val="009F66AC"/>
    <w:rsid w:val="00A76E20"/>
    <w:rsid w:val="00A77F70"/>
    <w:rsid w:val="00A84B00"/>
    <w:rsid w:val="00A90B4F"/>
    <w:rsid w:val="00AB6586"/>
    <w:rsid w:val="00AE06D1"/>
    <w:rsid w:val="00B21906"/>
    <w:rsid w:val="00B95101"/>
    <w:rsid w:val="00BB2995"/>
    <w:rsid w:val="00BC48D1"/>
    <w:rsid w:val="00C73EA2"/>
    <w:rsid w:val="00D045BD"/>
    <w:rsid w:val="00D10186"/>
    <w:rsid w:val="00D231E7"/>
    <w:rsid w:val="00D658F0"/>
    <w:rsid w:val="00D77A27"/>
    <w:rsid w:val="00D81564"/>
    <w:rsid w:val="00DC0040"/>
    <w:rsid w:val="00DE4BD0"/>
    <w:rsid w:val="00E434AE"/>
    <w:rsid w:val="00EE2EA1"/>
    <w:rsid w:val="00EF3483"/>
    <w:rsid w:val="00F040D4"/>
    <w:rsid w:val="00F3156D"/>
    <w:rsid w:val="00F3311F"/>
    <w:rsid w:val="00F352BF"/>
    <w:rsid w:val="00F762A9"/>
    <w:rsid w:val="00FA4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22A45-E1EC-4741-9B55-3D1BE49A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6E20"/>
    <w:pPr>
      <w:spacing w:after="100" w:line="240" w:lineRule="auto"/>
    </w:pPr>
  </w:style>
  <w:style w:type="paragraph" w:styleId="Nadpis1">
    <w:name w:val="heading 1"/>
    <w:basedOn w:val="Normln"/>
    <w:next w:val="Normln"/>
    <w:link w:val="Nadpis1Char"/>
    <w:uiPriority w:val="99"/>
    <w:qFormat/>
    <w:rsid w:val="006B3C5C"/>
    <w:pPr>
      <w:keepNext/>
      <w:numPr>
        <w:numId w:val="4"/>
      </w:numPr>
      <w:spacing w:after="240" w:line="360" w:lineRule="auto"/>
      <w:ind w:left="284" w:hanging="284"/>
      <w:jc w:val="both"/>
      <w:outlineLvl w:val="0"/>
    </w:pPr>
    <w:rPr>
      <w:rFonts w:ascii="Arial Narrow" w:eastAsia="Times New Roman" w:hAnsi="Arial Narrow" w:cs="Times New Roman"/>
      <w:b/>
      <w:sz w:val="28"/>
      <w:szCs w:val="24"/>
      <w:lang w:eastAsia="cs-CZ"/>
    </w:rPr>
  </w:style>
  <w:style w:type="paragraph" w:styleId="Nadpis2">
    <w:name w:val="heading 2"/>
    <w:basedOn w:val="Normln"/>
    <w:next w:val="Normln"/>
    <w:link w:val="Nadpis2Char"/>
    <w:uiPriority w:val="99"/>
    <w:qFormat/>
    <w:rsid w:val="006B3C5C"/>
    <w:pPr>
      <w:keepNext/>
      <w:numPr>
        <w:ilvl w:val="1"/>
        <w:numId w:val="4"/>
      </w:numPr>
      <w:spacing w:before="240" w:after="0" w:line="360" w:lineRule="auto"/>
      <w:outlineLvl w:val="1"/>
    </w:pPr>
    <w:rPr>
      <w:rFonts w:ascii="Arial Narrow" w:eastAsia="Times New Roman" w:hAnsi="Arial Narrow" w:cs="Times New Roman"/>
      <w:b/>
      <w:bCs/>
      <w:sz w:val="2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0490"/>
    <w:pPr>
      <w:ind w:left="720"/>
      <w:contextualSpacing/>
    </w:pPr>
  </w:style>
  <w:style w:type="paragraph" w:styleId="Textbubliny">
    <w:name w:val="Balloon Text"/>
    <w:basedOn w:val="Normln"/>
    <w:link w:val="TextbublinyChar"/>
    <w:uiPriority w:val="99"/>
    <w:semiHidden/>
    <w:unhideWhenUsed/>
    <w:rsid w:val="00BB2995"/>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2995"/>
    <w:rPr>
      <w:rFonts w:ascii="Segoe UI" w:hAnsi="Segoe UI" w:cs="Segoe UI"/>
      <w:sz w:val="18"/>
      <w:szCs w:val="18"/>
    </w:rPr>
  </w:style>
  <w:style w:type="character" w:customStyle="1" w:styleId="Nadpis1Char">
    <w:name w:val="Nadpis 1 Char"/>
    <w:basedOn w:val="Standardnpsmoodstavce"/>
    <w:link w:val="Nadpis1"/>
    <w:uiPriority w:val="99"/>
    <w:rsid w:val="006B3C5C"/>
    <w:rPr>
      <w:rFonts w:ascii="Arial Narrow" w:eastAsia="Times New Roman" w:hAnsi="Arial Narrow" w:cs="Times New Roman"/>
      <w:b/>
      <w:sz w:val="28"/>
      <w:szCs w:val="24"/>
      <w:lang w:eastAsia="cs-CZ"/>
    </w:rPr>
  </w:style>
  <w:style w:type="character" w:customStyle="1" w:styleId="Nadpis2Char">
    <w:name w:val="Nadpis 2 Char"/>
    <w:basedOn w:val="Standardnpsmoodstavce"/>
    <w:link w:val="Nadpis2"/>
    <w:uiPriority w:val="99"/>
    <w:rsid w:val="006B3C5C"/>
    <w:rPr>
      <w:rFonts w:ascii="Arial Narrow" w:eastAsia="Times New Roman" w:hAnsi="Arial Narrow" w:cs="Times New Roman"/>
      <w:b/>
      <w:bCs/>
      <w:sz w:val="26"/>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31623">
      <w:bodyDiv w:val="1"/>
      <w:marLeft w:val="0"/>
      <w:marRight w:val="0"/>
      <w:marTop w:val="0"/>
      <w:marBottom w:val="0"/>
      <w:divBdr>
        <w:top w:val="none" w:sz="0" w:space="0" w:color="auto"/>
        <w:left w:val="none" w:sz="0" w:space="0" w:color="auto"/>
        <w:bottom w:val="none" w:sz="0" w:space="0" w:color="auto"/>
        <w:right w:val="none" w:sz="0" w:space="0" w:color="auto"/>
      </w:divBdr>
      <w:divsChild>
        <w:div w:id="61871450">
          <w:marLeft w:val="720"/>
          <w:marRight w:val="0"/>
          <w:marTop w:val="120"/>
          <w:marBottom w:val="0"/>
          <w:divBdr>
            <w:top w:val="none" w:sz="0" w:space="0" w:color="auto"/>
            <w:left w:val="none" w:sz="0" w:space="0" w:color="auto"/>
            <w:bottom w:val="none" w:sz="0" w:space="0" w:color="auto"/>
            <w:right w:val="none" w:sz="0" w:space="0" w:color="auto"/>
          </w:divBdr>
        </w:div>
        <w:div w:id="1080979957">
          <w:marLeft w:val="720"/>
          <w:marRight w:val="0"/>
          <w:marTop w:val="120"/>
          <w:marBottom w:val="0"/>
          <w:divBdr>
            <w:top w:val="none" w:sz="0" w:space="0" w:color="auto"/>
            <w:left w:val="none" w:sz="0" w:space="0" w:color="auto"/>
            <w:bottom w:val="none" w:sz="0" w:space="0" w:color="auto"/>
            <w:right w:val="none" w:sz="0" w:space="0" w:color="auto"/>
          </w:divBdr>
        </w:div>
        <w:div w:id="1689521979">
          <w:marLeft w:val="720"/>
          <w:marRight w:val="0"/>
          <w:marTop w:val="120"/>
          <w:marBottom w:val="0"/>
          <w:divBdr>
            <w:top w:val="none" w:sz="0" w:space="0" w:color="auto"/>
            <w:left w:val="none" w:sz="0" w:space="0" w:color="auto"/>
            <w:bottom w:val="none" w:sz="0" w:space="0" w:color="auto"/>
            <w:right w:val="none" w:sz="0" w:space="0" w:color="auto"/>
          </w:divBdr>
        </w:div>
        <w:div w:id="2064406209">
          <w:marLeft w:val="720"/>
          <w:marRight w:val="0"/>
          <w:marTop w:val="120"/>
          <w:marBottom w:val="0"/>
          <w:divBdr>
            <w:top w:val="none" w:sz="0" w:space="0" w:color="auto"/>
            <w:left w:val="none" w:sz="0" w:space="0" w:color="auto"/>
            <w:bottom w:val="none" w:sz="0" w:space="0" w:color="auto"/>
            <w:right w:val="none" w:sz="0" w:space="0" w:color="auto"/>
          </w:divBdr>
        </w:div>
        <w:div w:id="2081127417">
          <w:marLeft w:val="720"/>
          <w:marRight w:val="0"/>
          <w:marTop w:val="120"/>
          <w:marBottom w:val="0"/>
          <w:divBdr>
            <w:top w:val="none" w:sz="0" w:space="0" w:color="auto"/>
            <w:left w:val="none" w:sz="0" w:space="0" w:color="auto"/>
            <w:bottom w:val="none" w:sz="0" w:space="0" w:color="auto"/>
            <w:right w:val="none" w:sz="0" w:space="0" w:color="auto"/>
          </w:divBdr>
        </w:div>
      </w:divsChild>
    </w:div>
    <w:div w:id="863246447">
      <w:bodyDiv w:val="1"/>
      <w:marLeft w:val="0"/>
      <w:marRight w:val="0"/>
      <w:marTop w:val="0"/>
      <w:marBottom w:val="0"/>
      <w:divBdr>
        <w:top w:val="none" w:sz="0" w:space="0" w:color="auto"/>
        <w:left w:val="none" w:sz="0" w:space="0" w:color="auto"/>
        <w:bottom w:val="none" w:sz="0" w:space="0" w:color="auto"/>
        <w:right w:val="none" w:sz="0" w:space="0" w:color="auto"/>
      </w:divBdr>
      <w:divsChild>
        <w:div w:id="174346856">
          <w:marLeft w:val="720"/>
          <w:marRight w:val="0"/>
          <w:marTop w:val="120"/>
          <w:marBottom w:val="0"/>
          <w:divBdr>
            <w:top w:val="none" w:sz="0" w:space="0" w:color="auto"/>
            <w:left w:val="none" w:sz="0" w:space="0" w:color="auto"/>
            <w:bottom w:val="none" w:sz="0" w:space="0" w:color="auto"/>
            <w:right w:val="none" w:sz="0" w:space="0" w:color="auto"/>
          </w:divBdr>
        </w:div>
        <w:div w:id="1635599985">
          <w:marLeft w:val="720"/>
          <w:marRight w:val="0"/>
          <w:marTop w:val="120"/>
          <w:marBottom w:val="0"/>
          <w:divBdr>
            <w:top w:val="none" w:sz="0" w:space="0" w:color="auto"/>
            <w:left w:val="none" w:sz="0" w:space="0" w:color="auto"/>
            <w:bottom w:val="none" w:sz="0" w:space="0" w:color="auto"/>
            <w:right w:val="none" w:sz="0" w:space="0" w:color="auto"/>
          </w:divBdr>
        </w:div>
        <w:div w:id="1632513593">
          <w:marLeft w:val="720"/>
          <w:marRight w:val="0"/>
          <w:marTop w:val="120"/>
          <w:marBottom w:val="0"/>
          <w:divBdr>
            <w:top w:val="none" w:sz="0" w:space="0" w:color="auto"/>
            <w:left w:val="none" w:sz="0" w:space="0" w:color="auto"/>
            <w:bottom w:val="none" w:sz="0" w:space="0" w:color="auto"/>
            <w:right w:val="none" w:sz="0" w:space="0" w:color="auto"/>
          </w:divBdr>
        </w:div>
        <w:div w:id="371999404">
          <w:marLeft w:val="720"/>
          <w:marRight w:val="0"/>
          <w:marTop w:val="120"/>
          <w:marBottom w:val="0"/>
          <w:divBdr>
            <w:top w:val="none" w:sz="0" w:space="0" w:color="auto"/>
            <w:left w:val="none" w:sz="0" w:space="0" w:color="auto"/>
            <w:bottom w:val="none" w:sz="0" w:space="0" w:color="auto"/>
            <w:right w:val="none" w:sz="0" w:space="0" w:color="auto"/>
          </w:divBdr>
        </w:div>
        <w:div w:id="80794221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DCD9B0B573C3F47943A2CEBEDC09548" ma:contentTypeVersion="2" ma:contentTypeDescription="Vytvoří nový dokument" ma:contentTypeScope="" ma:versionID="25b7c45ed5f97373f6aad4d2d2e0311f">
  <xsd:schema xmlns:xsd="http://www.w3.org/2001/XMLSchema" xmlns:xs="http://www.w3.org/2001/XMLSchema" xmlns:p="http://schemas.microsoft.com/office/2006/metadata/properties" xmlns:ns1="http://schemas.microsoft.com/sharepoint/v3" xmlns:ns2="8ef3f63a-13e5-4c6a-983a-be82697c1c8c" targetNamespace="http://schemas.microsoft.com/office/2006/metadata/properties" ma:root="true" ma:fieldsID="a0eb47107e954fbc7f9ec8ea0f334acf" ns1:_="" ns2:_="">
    <xsd:import namespace="http://schemas.microsoft.com/sharepoint/v3"/>
    <xsd:import namespace="8ef3f63a-13e5-4c6a-983a-be82697c1c8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f3f63a-13e5-4c6a-983a-be82697c1c8c"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FCE23-0DA9-4938-B57D-7FCD0FBE463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8A4A57-301B-480D-8159-51EE46E5D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f3f63a-13e5-4c6a-983a-be82697c1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DCF23-98FA-44AE-80C4-62942A167496}">
  <ds:schemaRefs>
    <ds:schemaRef ds:uri="http://schemas.microsoft.com/sharepoint/v3/contenttype/forms"/>
  </ds:schemaRefs>
</ds:datastoreItem>
</file>

<file path=customXml/itemProps4.xml><?xml version="1.0" encoding="utf-8"?>
<ds:datastoreItem xmlns:ds="http://schemas.openxmlformats.org/officeDocument/2006/customXml" ds:itemID="{5D0746BF-EEC4-49E7-959A-87F4FB22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515</Words>
  <Characters>3044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Odehnal Jakub;Leopold Skoruša</dc:creator>
  <cp:lastModifiedBy>Horák Ondřej</cp:lastModifiedBy>
  <cp:revision>5</cp:revision>
  <cp:lastPrinted>2018-06-28T07:55:00Z</cp:lastPrinted>
  <dcterms:created xsi:type="dcterms:W3CDTF">2018-07-25T14:38:00Z</dcterms:created>
  <dcterms:modified xsi:type="dcterms:W3CDTF">2018-07-25T15:16:00Z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0x010100EDCD9B0B573C3F47943A2CEBEDC09548</vt:lpwstr>
  </property>
</Properties>
</file>