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88" w:rsidRPr="00396497" w:rsidRDefault="009F0088" w:rsidP="009F0088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  <w:r w:rsidRPr="00396497">
        <w:rPr>
          <w:rFonts w:ascii="Times New Roman" w:hAnsi="Times New Roman"/>
          <w:b/>
          <w:sz w:val="24"/>
          <w:szCs w:val="24"/>
        </w:rPr>
        <w:t xml:space="preserve">Název předmětu: </w:t>
      </w:r>
      <w:r w:rsidR="008A434F">
        <w:rPr>
          <w:rFonts w:ascii="Times New Roman" w:hAnsi="Times New Roman"/>
          <w:b/>
          <w:sz w:val="24"/>
          <w:szCs w:val="24"/>
        </w:rPr>
        <w:t>Správní právo a odpovědnostní vztahy</w:t>
      </w:r>
    </w:p>
    <w:p w:rsidR="009F0088" w:rsidRDefault="001414A4" w:rsidP="000105B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Téma:</w:t>
      </w:r>
      <w:r w:rsidR="008A434F" w:rsidRPr="0059235B">
        <w:rPr>
          <w:b/>
        </w:rPr>
        <w:t xml:space="preserve"> </w:t>
      </w:r>
      <w:r w:rsidR="00890237">
        <w:rPr>
          <w:rFonts w:ascii="Times New Roman" w:hAnsi="Times New Roman"/>
          <w:b/>
          <w:sz w:val="24"/>
          <w:szCs w:val="24"/>
        </w:rPr>
        <w:t xml:space="preserve">Správa na úseku školství </w:t>
      </w:r>
      <w:r w:rsidR="00890237" w:rsidRPr="00890237">
        <w:rPr>
          <w:rFonts w:ascii="Times New Roman" w:hAnsi="Times New Roman"/>
          <w:b/>
          <w:sz w:val="24"/>
          <w:szCs w:val="24"/>
        </w:rPr>
        <w:t>a zaměstnanosti</w:t>
      </w:r>
      <w:r w:rsidR="000105B0" w:rsidRPr="000105B0">
        <w:rPr>
          <w:rFonts w:ascii="Times New Roman" w:hAnsi="Times New Roman"/>
          <w:b/>
          <w:sz w:val="24"/>
          <w:szCs w:val="24"/>
        </w:rPr>
        <w:t>.</w:t>
      </w:r>
    </w:p>
    <w:p w:rsidR="001414A4" w:rsidRPr="00297E90" w:rsidRDefault="001414A4" w:rsidP="00297E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Cíl:</w:t>
      </w:r>
      <w:r w:rsidR="002B0E2D">
        <w:rPr>
          <w:rFonts w:ascii="Times New Roman" w:hAnsi="Times New Roman"/>
          <w:b/>
          <w:sz w:val="24"/>
          <w:szCs w:val="24"/>
        </w:rPr>
        <w:t xml:space="preserve"> </w:t>
      </w:r>
      <w:r w:rsidR="002B0E2D" w:rsidRPr="00236B33">
        <w:rPr>
          <w:rFonts w:ascii="Times New Roman" w:hAnsi="Times New Roman"/>
          <w:sz w:val="24"/>
          <w:szCs w:val="24"/>
        </w:rPr>
        <w:t>Seznámit studenty s</w:t>
      </w:r>
      <w:r w:rsidR="00890237">
        <w:rPr>
          <w:rFonts w:ascii="Times New Roman" w:hAnsi="Times New Roman"/>
          <w:sz w:val="24"/>
          <w:szCs w:val="24"/>
        </w:rPr>
        <w:t xml:space="preserve"> organizací a činnostmi veřejné správy na úseku </w:t>
      </w:r>
      <w:r w:rsidR="00B5019E">
        <w:rPr>
          <w:rFonts w:ascii="Times New Roman" w:hAnsi="Times New Roman"/>
          <w:sz w:val="24"/>
          <w:szCs w:val="24"/>
        </w:rPr>
        <w:t>školství a </w:t>
      </w:r>
      <w:r w:rsidR="00890237">
        <w:rPr>
          <w:rFonts w:ascii="Times New Roman" w:hAnsi="Times New Roman"/>
          <w:sz w:val="24"/>
          <w:szCs w:val="24"/>
        </w:rPr>
        <w:t>zaměstnanosti</w:t>
      </w:r>
      <w:r w:rsidR="00CD3BBD">
        <w:rPr>
          <w:rFonts w:ascii="Times New Roman" w:hAnsi="Times New Roman"/>
          <w:sz w:val="24"/>
          <w:szCs w:val="24"/>
        </w:rPr>
        <w:t>.</w:t>
      </w:r>
      <w:r w:rsidR="002D2E62" w:rsidRPr="00236B33">
        <w:rPr>
          <w:rFonts w:ascii="Times New Roman" w:hAnsi="Times New Roman"/>
          <w:sz w:val="24"/>
          <w:szCs w:val="24"/>
        </w:rPr>
        <w:t xml:space="preserve"> Studenti si prohloubí znalosti </w:t>
      </w:r>
      <w:r w:rsidR="008179D7">
        <w:rPr>
          <w:rFonts w:ascii="Times New Roman" w:hAnsi="Times New Roman"/>
          <w:sz w:val="24"/>
          <w:szCs w:val="24"/>
        </w:rPr>
        <w:t xml:space="preserve">týkající se </w:t>
      </w:r>
      <w:r w:rsidR="008C1681">
        <w:rPr>
          <w:rFonts w:ascii="Times New Roman" w:hAnsi="Times New Roman"/>
          <w:sz w:val="24"/>
          <w:szCs w:val="24"/>
        </w:rPr>
        <w:t xml:space="preserve">stěžejních pramenů právní úpravy </w:t>
      </w:r>
      <w:r w:rsidR="00890237">
        <w:rPr>
          <w:rFonts w:ascii="Times New Roman" w:hAnsi="Times New Roman"/>
          <w:sz w:val="24"/>
          <w:szCs w:val="24"/>
        </w:rPr>
        <w:t xml:space="preserve">veřejné </w:t>
      </w:r>
      <w:r w:rsidR="008C1681">
        <w:rPr>
          <w:rFonts w:ascii="Times New Roman" w:hAnsi="Times New Roman"/>
          <w:sz w:val="24"/>
          <w:szCs w:val="24"/>
        </w:rPr>
        <w:t xml:space="preserve">správy </w:t>
      </w:r>
      <w:r w:rsidR="00890237">
        <w:rPr>
          <w:rFonts w:ascii="Times New Roman" w:hAnsi="Times New Roman"/>
          <w:sz w:val="24"/>
          <w:szCs w:val="24"/>
        </w:rPr>
        <w:t xml:space="preserve">školství a zaměstnanosti </w:t>
      </w:r>
      <w:r w:rsidR="008C1681">
        <w:rPr>
          <w:rFonts w:ascii="Times New Roman" w:hAnsi="Times New Roman"/>
          <w:sz w:val="24"/>
          <w:szCs w:val="24"/>
        </w:rPr>
        <w:t>a jejími základními právními instituty</w:t>
      </w:r>
      <w:r w:rsidR="00CD3BBD">
        <w:rPr>
          <w:rFonts w:ascii="Times New Roman" w:hAnsi="Times New Roman"/>
          <w:sz w:val="24"/>
          <w:szCs w:val="24"/>
        </w:rPr>
        <w:t>.</w:t>
      </w:r>
    </w:p>
    <w:p w:rsidR="00E8263B" w:rsidRDefault="00AD5A85" w:rsidP="00E8263B">
      <w:pPr>
        <w:jc w:val="both"/>
        <w:rPr>
          <w:rFonts w:ascii="Times New Roman" w:hAnsi="Times New Roman"/>
          <w:b/>
          <w:sz w:val="24"/>
          <w:szCs w:val="24"/>
        </w:rPr>
      </w:pPr>
      <w:r w:rsidRPr="009F0088">
        <w:rPr>
          <w:rFonts w:ascii="Times New Roman" w:hAnsi="Times New Roman"/>
          <w:b/>
          <w:sz w:val="24"/>
          <w:szCs w:val="24"/>
        </w:rPr>
        <w:t>Úkoly pro samostatnou práci:</w:t>
      </w:r>
    </w:p>
    <w:p w:rsidR="005B263D" w:rsidRDefault="005B263D" w:rsidP="005B263D">
      <w:pPr>
        <w:jc w:val="both"/>
        <w:rPr>
          <w:rFonts w:ascii="Times New Roman" w:eastAsia="Times New Roman" w:hAnsi="Times New Roman"/>
          <w:iCs/>
          <w:sz w:val="24"/>
          <w:lang w:eastAsia="cs-CZ"/>
        </w:rPr>
      </w:pPr>
      <w:r>
        <w:rPr>
          <w:rFonts w:ascii="Times New Roman" w:eastAsia="Times New Roman" w:hAnsi="Times New Roman"/>
          <w:iCs/>
          <w:sz w:val="24"/>
          <w:lang w:eastAsia="cs-CZ"/>
        </w:rPr>
        <w:t xml:space="preserve">Definujte pojem </w:t>
      </w:r>
      <w:r w:rsidR="00890237">
        <w:rPr>
          <w:rFonts w:ascii="Times New Roman" w:eastAsia="Times New Roman" w:hAnsi="Times New Roman"/>
          <w:iCs/>
          <w:sz w:val="24"/>
          <w:lang w:eastAsia="cs-CZ"/>
        </w:rPr>
        <w:t>správa školství</w:t>
      </w:r>
      <w:r>
        <w:rPr>
          <w:rFonts w:ascii="Times New Roman" w:eastAsia="Times New Roman" w:hAnsi="Times New Roman"/>
          <w:iCs/>
          <w:sz w:val="24"/>
          <w:lang w:eastAsia="cs-CZ"/>
        </w:rPr>
        <w:t>.</w:t>
      </w:r>
    </w:p>
    <w:p w:rsidR="005B263D" w:rsidRPr="005B263D" w:rsidRDefault="00890237" w:rsidP="005B263D">
      <w:pPr>
        <w:jc w:val="both"/>
        <w:rPr>
          <w:rFonts w:ascii="Times New Roman" w:eastAsia="Times New Roman" w:hAnsi="Times New Roman"/>
          <w:iCs/>
          <w:sz w:val="24"/>
          <w:lang w:eastAsia="cs-CZ"/>
        </w:rPr>
      </w:pPr>
      <w:r>
        <w:rPr>
          <w:rFonts w:ascii="Times New Roman" w:eastAsia="Times New Roman" w:hAnsi="Times New Roman"/>
          <w:iCs/>
          <w:sz w:val="24"/>
          <w:lang w:eastAsia="cs-CZ"/>
        </w:rPr>
        <w:t>Definujte pojem správa zaměstnanosti.</w:t>
      </w:r>
    </w:p>
    <w:p w:rsidR="005B263D" w:rsidRDefault="00890237" w:rsidP="005B263D">
      <w:pPr>
        <w:jc w:val="both"/>
        <w:rPr>
          <w:rFonts w:ascii="Times New Roman" w:eastAsia="Times New Roman" w:hAnsi="Times New Roman"/>
          <w:iCs/>
          <w:sz w:val="24"/>
          <w:lang w:eastAsia="cs-CZ"/>
        </w:rPr>
      </w:pPr>
      <w:r>
        <w:rPr>
          <w:rFonts w:ascii="Times New Roman" w:eastAsia="Times New Roman" w:hAnsi="Times New Roman"/>
          <w:iCs/>
          <w:sz w:val="24"/>
          <w:lang w:eastAsia="cs-CZ"/>
        </w:rPr>
        <w:t xml:space="preserve">Prostudujte tzv. vysokoškolský zákon a věnujte pozornost orgánům vysoké školy a fakulty </w:t>
      </w:r>
      <w:r w:rsidR="00B5019E">
        <w:rPr>
          <w:rFonts w:ascii="Times New Roman" w:eastAsia="Times New Roman" w:hAnsi="Times New Roman"/>
          <w:iCs/>
          <w:sz w:val="24"/>
          <w:lang w:eastAsia="cs-CZ"/>
        </w:rPr>
        <w:t>a </w:t>
      </w:r>
      <w:r>
        <w:rPr>
          <w:rFonts w:ascii="Times New Roman" w:eastAsia="Times New Roman" w:hAnsi="Times New Roman"/>
          <w:iCs/>
          <w:sz w:val="24"/>
          <w:lang w:eastAsia="cs-CZ"/>
        </w:rPr>
        <w:t>vnitřním předpisům vysoké školy a fakulty.</w:t>
      </w:r>
    </w:p>
    <w:p w:rsidR="005F77ED" w:rsidRDefault="00FB7D21" w:rsidP="005B263D">
      <w:pPr>
        <w:jc w:val="both"/>
        <w:rPr>
          <w:b/>
        </w:rPr>
      </w:pPr>
      <w:r w:rsidRPr="009F0088">
        <w:rPr>
          <w:rFonts w:ascii="Times New Roman" w:hAnsi="Times New Roman"/>
          <w:b/>
          <w:sz w:val="24"/>
          <w:szCs w:val="24"/>
        </w:rPr>
        <w:t>Studijní</w:t>
      </w:r>
      <w:r w:rsidR="00955FDF" w:rsidRPr="009F0088">
        <w:rPr>
          <w:rFonts w:ascii="Times New Roman" w:hAnsi="Times New Roman"/>
          <w:b/>
          <w:sz w:val="24"/>
          <w:szCs w:val="24"/>
        </w:rPr>
        <w:t xml:space="preserve"> literatura:</w:t>
      </w:r>
      <w:r w:rsidR="00236B33" w:rsidRPr="00236B33">
        <w:rPr>
          <w:rFonts w:ascii="Times New Roman" w:hAnsi="Times New Roman"/>
          <w:b/>
          <w:sz w:val="24"/>
          <w:szCs w:val="24"/>
        </w:rPr>
        <w:t xml:space="preserve"> </w:t>
      </w:r>
    </w:p>
    <w:p w:rsidR="00276207" w:rsidRDefault="00276207" w:rsidP="00276207">
      <w:pPr>
        <w:jc w:val="both"/>
        <w:rPr>
          <w:rFonts w:ascii="Times New Roman" w:hAnsi="Times New Roman"/>
          <w:sz w:val="24"/>
          <w:szCs w:val="24"/>
        </w:rPr>
      </w:pPr>
      <w:r w:rsidRPr="00902216">
        <w:rPr>
          <w:rFonts w:ascii="Times New Roman" w:hAnsi="Times New Roman"/>
          <w:sz w:val="24"/>
          <w:szCs w:val="24"/>
        </w:rPr>
        <w:t>JURNÍKOVÁ, Jan</w:t>
      </w:r>
      <w:r>
        <w:rPr>
          <w:rFonts w:ascii="Times New Roman" w:hAnsi="Times New Roman"/>
          <w:sz w:val="24"/>
          <w:szCs w:val="24"/>
        </w:rPr>
        <w:t xml:space="preserve">a. </w:t>
      </w:r>
      <w:r w:rsidRPr="00902216">
        <w:rPr>
          <w:rFonts w:ascii="Times New Roman" w:hAnsi="Times New Roman"/>
          <w:i/>
          <w:sz w:val="24"/>
          <w:szCs w:val="24"/>
        </w:rPr>
        <w:t>Správní právo: zvláštní část: studijní text pro bakaláře.</w:t>
      </w:r>
      <w:r w:rsidRPr="00902216">
        <w:rPr>
          <w:rFonts w:ascii="Times New Roman" w:hAnsi="Times New Roman"/>
          <w:sz w:val="24"/>
          <w:szCs w:val="24"/>
        </w:rPr>
        <w:t xml:space="preserve"> Brno: Masarykova univerzita, 2013. ISBN 978-80-210-6272-6.</w:t>
      </w:r>
    </w:p>
    <w:p w:rsidR="0091449A" w:rsidRPr="0091449A" w:rsidRDefault="0091449A" w:rsidP="009144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1449A">
        <w:rPr>
          <w:rFonts w:ascii="Times New Roman" w:eastAsia="Times New Roman" w:hAnsi="Times New Roman"/>
          <w:sz w:val="24"/>
          <w:szCs w:val="24"/>
          <w:lang w:eastAsia="cs-CZ"/>
        </w:rPr>
        <w:t>SKORUŠA, Leopold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kol</w:t>
      </w:r>
      <w:r w:rsidRPr="0091449A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91449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Základy práva a vybrané kapitoly mezinárodního humanitárního práva: studijní text</w:t>
      </w:r>
      <w:r w:rsidRPr="0091449A">
        <w:rPr>
          <w:rFonts w:ascii="Times New Roman" w:eastAsia="Times New Roman" w:hAnsi="Times New Roman"/>
          <w:sz w:val="24"/>
          <w:szCs w:val="24"/>
          <w:lang w:eastAsia="cs-CZ"/>
        </w:rPr>
        <w:t>. Brno: Univerzita obrany, 2015. ISBN 978-80-7231-447-8.</w:t>
      </w:r>
    </w:p>
    <w:p w:rsidR="00890237" w:rsidRDefault="00902216" w:rsidP="005F77ED">
      <w:pPr>
        <w:jc w:val="both"/>
        <w:rPr>
          <w:rFonts w:ascii="Times New Roman" w:hAnsi="Times New Roman"/>
          <w:sz w:val="24"/>
          <w:szCs w:val="24"/>
        </w:rPr>
      </w:pPr>
      <w:r w:rsidRPr="00902216">
        <w:rPr>
          <w:rFonts w:ascii="Times New Roman" w:hAnsi="Times New Roman"/>
          <w:sz w:val="24"/>
          <w:szCs w:val="24"/>
        </w:rPr>
        <w:t xml:space="preserve">SLÁDEČEK, Vladimír a Olga POUPEROVÁ. </w:t>
      </w:r>
      <w:r w:rsidRPr="00902216">
        <w:rPr>
          <w:rFonts w:ascii="Times New Roman" w:hAnsi="Times New Roman"/>
          <w:i/>
          <w:sz w:val="24"/>
          <w:szCs w:val="24"/>
        </w:rPr>
        <w:t>Správní právo: zvláštní část (vybrané kapitoly).</w:t>
      </w:r>
      <w:r w:rsidRPr="00902216">
        <w:rPr>
          <w:rFonts w:ascii="Times New Roman" w:hAnsi="Times New Roman"/>
          <w:sz w:val="24"/>
          <w:szCs w:val="24"/>
        </w:rPr>
        <w:t xml:space="preserve"> 2. vyd. Praha: </w:t>
      </w:r>
      <w:proofErr w:type="spellStart"/>
      <w:r w:rsidRPr="00902216">
        <w:rPr>
          <w:rFonts w:ascii="Times New Roman" w:hAnsi="Times New Roman"/>
          <w:sz w:val="24"/>
          <w:szCs w:val="24"/>
        </w:rPr>
        <w:t>Leges</w:t>
      </w:r>
      <w:proofErr w:type="spellEnd"/>
      <w:r w:rsidRPr="00902216">
        <w:rPr>
          <w:rFonts w:ascii="Times New Roman" w:hAnsi="Times New Roman"/>
          <w:sz w:val="24"/>
          <w:szCs w:val="24"/>
        </w:rPr>
        <w:t>, 2014. Student (</w:t>
      </w:r>
      <w:proofErr w:type="spellStart"/>
      <w:r w:rsidRPr="00902216">
        <w:rPr>
          <w:rFonts w:ascii="Times New Roman" w:hAnsi="Times New Roman"/>
          <w:sz w:val="24"/>
          <w:szCs w:val="24"/>
        </w:rPr>
        <w:t>Leges</w:t>
      </w:r>
      <w:proofErr w:type="spellEnd"/>
      <w:r w:rsidRPr="00902216">
        <w:rPr>
          <w:rFonts w:ascii="Times New Roman" w:hAnsi="Times New Roman"/>
          <w:sz w:val="24"/>
          <w:szCs w:val="24"/>
        </w:rPr>
        <w:t>). ISBN 978-80-87576-48-9.</w:t>
      </w:r>
    </w:p>
    <w:p w:rsidR="005F77ED" w:rsidRDefault="00637BA0" w:rsidP="005F77ED">
      <w:pPr>
        <w:jc w:val="both"/>
      </w:pPr>
      <w:r>
        <w:rPr>
          <w:rFonts w:ascii="Times New Roman" w:hAnsi="Times New Roman"/>
          <w:b/>
          <w:sz w:val="24"/>
          <w:szCs w:val="24"/>
        </w:rPr>
        <w:t>Obsah:</w:t>
      </w:r>
      <w:r w:rsidR="005F77ED" w:rsidRPr="005F77ED">
        <w:t xml:space="preserve"> </w:t>
      </w:r>
    </w:p>
    <w:p w:rsidR="00890237" w:rsidRPr="00890237" w:rsidRDefault="00890237" w:rsidP="00890237">
      <w:pPr>
        <w:jc w:val="both"/>
        <w:rPr>
          <w:rFonts w:ascii="Times New Roman" w:hAnsi="Times New Roman"/>
          <w:sz w:val="24"/>
          <w:szCs w:val="24"/>
        </w:rPr>
      </w:pPr>
      <w:r w:rsidRPr="00890237">
        <w:rPr>
          <w:rFonts w:ascii="Times New Roman" w:hAnsi="Times New Roman"/>
          <w:sz w:val="24"/>
          <w:szCs w:val="24"/>
        </w:rPr>
        <w:t>Úvod</w:t>
      </w:r>
    </w:p>
    <w:p w:rsidR="00890237" w:rsidRPr="00890237" w:rsidRDefault="00890237" w:rsidP="00890237">
      <w:pPr>
        <w:jc w:val="both"/>
        <w:rPr>
          <w:rFonts w:ascii="Times New Roman" w:hAnsi="Times New Roman"/>
          <w:sz w:val="24"/>
          <w:szCs w:val="24"/>
        </w:rPr>
      </w:pPr>
      <w:r w:rsidRPr="00890237">
        <w:rPr>
          <w:rFonts w:ascii="Times New Roman" w:hAnsi="Times New Roman"/>
          <w:sz w:val="24"/>
          <w:szCs w:val="24"/>
        </w:rPr>
        <w:t>1. Zvláštní část správního práva</w:t>
      </w:r>
    </w:p>
    <w:p w:rsidR="00890237" w:rsidRPr="00890237" w:rsidRDefault="00890237" w:rsidP="00890237">
      <w:pPr>
        <w:jc w:val="both"/>
        <w:rPr>
          <w:rFonts w:ascii="Times New Roman" w:hAnsi="Times New Roman"/>
          <w:sz w:val="24"/>
          <w:szCs w:val="24"/>
        </w:rPr>
      </w:pPr>
      <w:r w:rsidRPr="00890237">
        <w:rPr>
          <w:rFonts w:ascii="Times New Roman" w:hAnsi="Times New Roman"/>
          <w:sz w:val="24"/>
          <w:szCs w:val="24"/>
        </w:rPr>
        <w:t>2. Správa na úseku školství</w:t>
      </w:r>
    </w:p>
    <w:p w:rsidR="00890237" w:rsidRPr="00890237" w:rsidRDefault="00890237" w:rsidP="00890237">
      <w:pPr>
        <w:jc w:val="both"/>
        <w:rPr>
          <w:rFonts w:ascii="Times New Roman" w:hAnsi="Times New Roman"/>
          <w:sz w:val="24"/>
          <w:szCs w:val="24"/>
        </w:rPr>
      </w:pPr>
      <w:r w:rsidRPr="00890237">
        <w:rPr>
          <w:rFonts w:ascii="Times New Roman" w:hAnsi="Times New Roman"/>
          <w:sz w:val="24"/>
          <w:szCs w:val="24"/>
        </w:rPr>
        <w:t>3. Správa na úseku zaměstnanosti</w:t>
      </w:r>
    </w:p>
    <w:p w:rsidR="00952137" w:rsidRDefault="00890237" w:rsidP="00890237">
      <w:pPr>
        <w:jc w:val="both"/>
        <w:rPr>
          <w:rFonts w:ascii="Times New Roman" w:hAnsi="Times New Roman"/>
          <w:sz w:val="24"/>
          <w:szCs w:val="24"/>
        </w:rPr>
      </w:pPr>
      <w:r w:rsidRPr="00890237">
        <w:rPr>
          <w:rFonts w:ascii="Times New Roman" w:hAnsi="Times New Roman"/>
          <w:sz w:val="24"/>
          <w:szCs w:val="24"/>
        </w:rPr>
        <w:t>Závěr</w:t>
      </w:r>
    </w:p>
    <w:p w:rsidR="00890237" w:rsidRDefault="00890237" w:rsidP="00890237">
      <w:pPr>
        <w:jc w:val="both"/>
        <w:rPr>
          <w:rFonts w:ascii="Times New Roman" w:hAnsi="Times New Roman"/>
          <w:sz w:val="24"/>
          <w:szCs w:val="24"/>
        </w:rPr>
      </w:pPr>
    </w:p>
    <w:p w:rsidR="00890237" w:rsidRDefault="00890237" w:rsidP="00890237">
      <w:pPr>
        <w:jc w:val="both"/>
        <w:rPr>
          <w:rFonts w:ascii="Times New Roman" w:hAnsi="Times New Roman"/>
          <w:sz w:val="24"/>
          <w:szCs w:val="24"/>
        </w:rPr>
      </w:pPr>
      <w:r w:rsidRPr="00890237">
        <w:rPr>
          <w:rFonts w:ascii="Times New Roman" w:hAnsi="Times New Roman"/>
          <w:sz w:val="24"/>
          <w:szCs w:val="24"/>
        </w:rPr>
        <w:t>Úvod</w:t>
      </w:r>
    </w:p>
    <w:p w:rsidR="00890237" w:rsidRDefault="00890237" w:rsidP="00890237">
      <w:pPr>
        <w:jc w:val="both"/>
        <w:rPr>
          <w:rFonts w:ascii="Times New Roman" w:hAnsi="Times New Roman"/>
          <w:sz w:val="24"/>
          <w:szCs w:val="24"/>
        </w:rPr>
      </w:pPr>
      <w:r w:rsidRPr="00C33100">
        <w:rPr>
          <w:rFonts w:ascii="Times New Roman" w:hAnsi="Times New Roman"/>
          <w:b/>
          <w:sz w:val="24"/>
          <w:szCs w:val="24"/>
        </w:rPr>
        <w:t>Ústavní východiska správy školství a správy zaměstnanosti</w:t>
      </w:r>
      <w:r>
        <w:rPr>
          <w:rFonts w:ascii="Times New Roman" w:hAnsi="Times New Roman"/>
          <w:sz w:val="24"/>
          <w:szCs w:val="24"/>
        </w:rPr>
        <w:t xml:space="preserve"> představuje zejména Listina základních práv a svobod se svými články 25, 26 a 33.</w:t>
      </w:r>
    </w:p>
    <w:p w:rsidR="00890237" w:rsidRPr="00890237" w:rsidRDefault="00890237" w:rsidP="00890237">
      <w:pPr>
        <w:jc w:val="center"/>
        <w:rPr>
          <w:rFonts w:ascii="Times New Roman" w:hAnsi="Times New Roman"/>
          <w:sz w:val="24"/>
          <w:szCs w:val="24"/>
        </w:rPr>
      </w:pPr>
      <w:r w:rsidRPr="00890237">
        <w:rPr>
          <w:rFonts w:ascii="Times New Roman" w:hAnsi="Times New Roman"/>
          <w:sz w:val="24"/>
          <w:szCs w:val="24"/>
        </w:rPr>
        <w:t>Čl.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237">
        <w:rPr>
          <w:rFonts w:ascii="Times New Roman" w:hAnsi="Times New Roman"/>
          <w:sz w:val="24"/>
          <w:szCs w:val="24"/>
        </w:rPr>
        <w:t>25</w:t>
      </w:r>
    </w:p>
    <w:p w:rsidR="00890237" w:rsidRPr="00890237" w:rsidRDefault="00890237" w:rsidP="00890237">
      <w:pPr>
        <w:jc w:val="both"/>
        <w:rPr>
          <w:rFonts w:ascii="Times New Roman" w:hAnsi="Times New Roman"/>
          <w:sz w:val="24"/>
          <w:szCs w:val="24"/>
        </w:rPr>
      </w:pPr>
      <w:r w:rsidRPr="00890237">
        <w:rPr>
          <w:rFonts w:ascii="Times New Roman" w:hAnsi="Times New Roman"/>
          <w:sz w:val="24"/>
          <w:szCs w:val="24"/>
        </w:rPr>
        <w:t xml:space="preserve">(1) Občanům tvořícím národnostní nebo etnické menšiny se zaručuje všestranný rozvoj, zejména právo společně s jinými příslušníky menšiny rozvíjet vlastní kulturu, právo </w:t>
      </w:r>
      <w:r w:rsidRPr="00890237">
        <w:rPr>
          <w:rFonts w:ascii="Times New Roman" w:hAnsi="Times New Roman"/>
          <w:sz w:val="24"/>
          <w:szCs w:val="24"/>
        </w:rPr>
        <w:lastRenderedPageBreak/>
        <w:t>rozšiřovat a přijímat informace v jejich mateřském jazyku a sdružovat se v národnostních sdruženích. Podrobnosti stanoví zákon.</w:t>
      </w:r>
    </w:p>
    <w:p w:rsidR="00890237" w:rsidRPr="00890237" w:rsidRDefault="00890237" w:rsidP="00890237">
      <w:pPr>
        <w:jc w:val="both"/>
        <w:rPr>
          <w:rFonts w:ascii="Times New Roman" w:hAnsi="Times New Roman"/>
          <w:sz w:val="24"/>
          <w:szCs w:val="24"/>
        </w:rPr>
      </w:pPr>
      <w:r w:rsidRPr="00890237">
        <w:rPr>
          <w:rFonts w:ascii="Times New Roman" w:hAnsi="Times New Roman"/>
          <w:sz w:val="24"/>
          <w:szCs w:val="24"/>
        </w:rPr>
        <w:t>(2) Občanům příslušejícím k národnostním a etnickým menšinám se za podmínek stanovených zákonem zaručuje též</w:t>
      </w:r>
    </w:p>
    <w:p w:rsidR="00890237" w:rsidRPr="00890237" w:rsidRDefault="00890237" w:rsidP="00890237">
      <w:pPr>
        <w:jc w:val="both"/>
        <w:rPr>
          <w:rFonts w:ascii="Times New Roman" w:hAnsi="Times New Roman"/>
          <w:sz w:val="24"/>
          <w:szCs w:val="24"/>
        </w:rPr>
      </w:pPr>
      <w:r w:rsidRPr="00890237">
        <w:rPr>
          <w:rFonts w:ascii="Times New Roman" w:hAnsi="Times New Roman"/>
          <w:sz w:val="24"/>
          <w:szCs w:val="24"/>
        </w:rPr>
        <w:t xml:space="preserve">a) právo na vzdělání v jejich jazyku, </w:t>
      </w:r>
    </w:p>
    <w:p w:rsidR="00890237" w:rsidRPr="00890237" w:rsidRDefault="00890237" w:rsidP="00890237">
      <w:pPr>
        <w:jc w:val="both"/>
        <w:rPr>
          <w:rFonts w:ascii="Times New Roman" w:hAnsi="Times New Roman"/>
          <w:sz w:val="24"/>
          <w:szCs w:val="24"/>
        </w:rPr>
      </w:pPr>
      <w:r w:rsidRPr="00890237">
        <w:rPr>
          <w:rFonts w:ascii="Times New Roman" w:hAnsi="Times New Roman"/>
          <w:sz w:val="24"/>
          <w:szCs w:val="24"/>
        </w:rPr>
        <w:t xml:space="preserve">b) právo užívat jejich jazyka v úředním styku, </w:t>
      </w:r>
    </w:p>
    <w:p w:rsidR="00890237" w:rsidRDefault="00890237" w:rsidP="00890237">
      <w:pPr>
        <w:jc w:val="both"/>
        <w:rPr>
          <w:rFonts w:ascii="Times New Roman" w:hAnsi="Times New Roman"/>
          <w:sz w:val="24"/>
          <w:szCs w:val="24"/>
        </w:rPr>
      </w:pPr>
      <w:r w:rsidRPr="00890237">
        <w:rPr>
          <w:rFonts w:ascii="Times New Roman" w:hAnsi="Times New Roman"/>
          <w:sz w:val="24"/>
          <w:szCs w:val="24"/>
        </w:rPr>
        <w:t>c) právo účasti na řešení věcí týkajících se národnostních a etnických menšin.</w:t>
      </w:r>
    </w:p>
    <w:p w:rsidR="00890237" w:rsidRPr="00890237" w:rsidRDefault="00890237" w:rsidP="00890237">
      <w:pPr>
        <w:jc w:val="center"/>
        <w:rPr>
          <w:rFonts w:ascii="Times New Roman" w:hAnsi="Times New Roman"/>
          <w:sz w:val="24"/>
          <w:szCs w:val="24"/>
        </w:rPr>
      </w:pPr>
      <w:r w:rsidRPr="00890237">
        <w:rPr>
          <w:rFonts w:ascii="Times New Roman" w:hAnsi="Times New Roman"/>
          <w:sz w:val="24"/>
          <w:szCs w:val="24"/>
        </w:rPr>
        <w:t>Čl.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237">
        <w:rPr>
          <w:rFonts w:ascii="Times New Roman" w:hAnsi="Times New Roman"/>
          <w:sz w:val="24"/>
          <w:szCs w:val="24"/>
        </w:rPr>
        <w:t xml:space="preserve">26 </w:t>
      </w:r>
    </w:p>
    <w:p w:rsidR="00890237" w:rsidRPr="00890237" w:rsidRDefault="00890237" w:rsidP="00890237">
      <w:pPr>
        <w:jc w:val="both"/>
        <w:rPr>
          <w:rFonts w:ascii="Times New Roman" w:hAnsi="Times New Roman"/>
          <w:sz w:val="24"/>
          <w:szCs w:val="24"/>
        </w:rPr>
      </w:pPr>
      <w:r w:rsidRPr="00890237">
        <w:rPr>
          <w:rFonts w:ascii="Times New Roman" w:hAnsi="Times New Roman"/>
          <w:sz w:val="24"/>
          <w:szCs w:val="24"/>
        </w:rPr>
        <w:t>(1) Každý má právo na svobodnou volbu povolání a přípravu k němu, jakož i právo podnikat a provozovat jinou hospodářskou činnost.</w:t>
      </w:r>
    </w:p>
    <w:p w:rsidR="00890237" w:rsidRPr="00890237" w:rsidRDefault="00890237" w:rsidP="00890237">
      <w:pPr>
        <w:jc w:val="both"/>
        <w:rPr>
          <w:rFonts w:ascii="Times New Roman" w:hAnsi="Times New Roman"/>
          <w:sz w:val="24"/>
          <w:szCs w:val="24"/>
        </w:rPr>
      </w:pPr>
      <w:r w:rsidRPr="00890237">
        <w:rPr>
          <w:rFonts w:ascii="Times New Roman" w:hAnsi="Times New Roman"/>
          <w:sz w:val="24"/>
          <w:szCs w:val="24"/>
        </w:rPr>
        <w:t>(2) Zákon může stanovit podmínky a omezení pro výkon určitých povolání nebo činností.</w:t>
      </w:r>
    </w:p>
    <w:p w:rsidR="00890237" w:rsidRPr="00890237" w:rsidRDefault="00890237" w:rsidP="00890237">
      <w:pPr>
        <w:jc w:val="both"/>
        <w:rPr>
          <w:rFonts w:ascii="Times New Roman" w:hAnsi="Times New Roman"/>
          <w:sz w:val="24"/>
          <w:szCs w:val="24"/>
        </w:rPr>
      </w:pPr>
      <w:r w:rsidRPr="00890237">
        <w:rPr>
          <w:rFonts w:ascii="Times New Roman" w:hAnsi="Times New Roman"/>
          <w:sz w:val="24"/>
          <w:szCs w:val="24"/>
        </w:rPr>
        <w:t>(3) Každý má právo získávat prostředky pro své životní potřeby prací. Občany, kteří toto právo nemohou bez své viny vykonávat, stát v přiměřeném rozsahu hmotně zajišťuje; podmínky stanoví zákon.</w:t>
      </w:r>
    </w:p>
    <w:p w:rsidR="00890237" w:rsidRDefault="00890237" w:rsidP="00890237">
      <w:pPr>
        <w:jc w:val="both"/>
        <w:rPr>
          <w:rFonts w:ascii="Times New Roman" w:hAnsi="Times New Roman"/>
          <w:sz w:val="24"/>
          <w:szCs w:val="24"/>
        </w:rPr>
      </w:pPr>
      <w:r w:rsidRPr="00890237">
        <w:rPr>
          <w:rFonts w:ascii="Times New Roman" w:hAnsi="Times New Roman"/>
          <w:sz w:val="24"/>
          <w:szCs w:val="24"/>
        </w:rPr>
        <w:t>(4) Zákon může stanovit odchylnou úpravu pro cizince.</w:t>
      </w:r>
    </w:p>
    <w:p w:rsidR="00890237" w:rsidRPr="00890237" w:rsidRDefault="00890237" w:rsidP="00890237">
      <w:pPr>
        <w:jc w:val="center"/>
        <w:rPr>
          <w:rFonts w:ascii="Times New Roman" w:hAnsi="Times New Roman"/>
          <w:sz w:val="24"/>
          <w:szCs w:val="24"/>
        </w:rPr>
      </w:pPr>
      <w:r w:rsidRPr="00890237">
        <w:rPr>
          <w:rFonts w:ascii="Times New Roman" w:hAnsi="Times New Roman"/>
          <w:sz w:val="24"/>
          <w:szCs w:val="24"/>
        </w:rPr>
        <w:t>Čl. 33</w:t>
      </w:r>
    </w:p>
    <w:p w:rsidR="00890237" w:rsidRPr="00890237" w:rsidRDefault="00890237" w:rsidP="00890237">
      <w:pPr>
        <w:jc w:val="both"/>
        <w:rPr>
          <w:rFonts w:ascii="Times New Roman" w:hAnsi="Times New Roman"/>
          <w:sz w:val="24"/>
          <w:szCs w:val="24"/>
        </w:rPr>
      </w:pPr>
      <w:r w:rsidRPr="00890237">
        <w:rPr>
          <w:rFonts w:ascii="Times New Roman" w:hAnsi="Times New Roman"/>
          <w:sz w:val="24"/>
          <w:szCs w:val="24"/>
        </w:rPr>
        <w:t>(1) Každý má právo na vzdělání. Školní docházka je povinná po dobu, kterou stanoví zákon.</w:t>
      </w:r>
    </w:p>
    <w:p w:rsidR="00890237" w:rsidRPr="00890237" w:rsidRDefault="00890237" w:rsidP="00890237">
      <w:pPr>
        <w:jc w:val="both"/>
        <w:rPr>
          <w:rFonts w:ascii="Times New Roman" w:hAnsi="Times New Roman"/>
          <w:sz w:val="24"/>
          <w:szCs w:val="24"/>
        </w:rPr>
      </w:pPr>
      <w:r w:rsidRPr="00890237">
        <w:rPr>
          <w:rFonts w:ascii="Times New Roman" w:hAnsi="Times New Roman"/>
          <w:sz w:val="24"/>
          <w:szCs w:val="24"/>
        </w:rPr>
        <w:t>(2) Občané mají právo na bezplatné vzdělání v základních a středních školách, podle schopností občana a možností společnosti též na vysokých školách.</w:t>
      </w:r>
    </w:p>
    <w:p w:rsidR="00890237" w:rsidRPr="00890237" w:rsidRDefault="00890237" w:rsidP="00890237">
      <w:pPr>
        <w:jc w:val="both"/>
        <w:rPr>
          <w:rFonts w:ascii="Times New Roman" w:hAnsi="Times New Roman"/>
          <w:sz w:val="24"/>
          <w:szCs w:val="24"/>
        </w:rPr>
      </w:pPr>
      <w:r w:rsidRPr="00890237">
        <w:rPr>
          <w:rFonts w:ascii="Times New Roman" w:hAnsi="Times New Roman"/>
          <w:sz w:val="24"/>
          <w:szCs w:val="24"/>
        </w:rPr>
        <w:t>(3) Zřizovat jiné školy než státní a vyučovat na nich lze jen za podmínek stanovených zákonem; na takových školách se může vzdělání poskytovat za úplatu.</w:t>
      </w:r>
    </w:p>
    <w:p w:rsidR="00890237" w:rsidRDefault="00890237" w:rsidP="00890237">
      <w:pPr>
        <w:jc w:val="both"/>
        <w:rPr>
          <w:rFonts w:ascii="Times New Roman" w:hAnsi="Times New Roman"/>
          <w:sz w:val="24"/>
          <w:szCs w:val="24"/>
        </w:rPr>
      </w:pPr>
      <w:r w:rsidRPr="00890237">
        <w:rPr>
          <w:rFonts w:ascii="Times New Roman" w:hAnsi="Times New Roman"/>
          <w:sz w:val="24"/>
          <w:szCs w:val="24"/>
        </w:rPr>
        <w:t>(4) Zákon stanoví, za jakých podmínek mají občané při studiu právo na pomoc státu.</w:t>
      </w:r>
    </w:p>
    <w:p w:rsidR="00890237" w:rsidRPr="00890237" w:rsidRDefault="00890237" w:rsidP="00890237">
      <w:pPr>
        <w:jc w:val="both"/>
        <w:rPr>
          <w:rFonts w:ascii="Times New Roman" w:hAnsi="Times New Roman"/>
          <w:sz w:val="24"/>
          <w:szCs w:val="24"/>
        </w:rPr>
      </w:pPr>
    </w:p>
    <w:p w:rsidR="00890237" w:rsidRDefault="00890237" w:rsidP="00890237">
      <w:pPr>
        <w:jc w:val="both"/>
        <w:rPr>
          <w:rFonts w:ascii="Times New Roman" w:hAnsi="Times New Roman"/>
          <w:sz w:val="24"/>
          <w:szCs w:val="24"/>
        </w:rPr>
      </w:pPr>
      <w:r w:rsidRPr="00890237">
        <w:rPr>
          <w:rFonts w:ascii="Times New Roman" w:hAnsi="Times New Roman"/>
          <w:sz w:val="24"/>
          <w:szCs w:val="24"/>
        </w:rPr>
        <w:t>1. Zvláštní část správního práva</w:t>
      </w:r>
    </w:p>
    <w:p w:rsidR="00A93FE2" w:rsidRPr="00A93FE2" w:rsidRDefault="00A93FE2" w:rsidP="00A93FE2">
      <w:pPr>
        <w:jc w:val="both"/>
        <w:rPr>
          <w:rFonts w:ascii="Times New Roman" w:hAnsi="Times New Roman"/>
          <w:sz w:val="24"/>
          <w:szCs w:val="24"/>
        </w:rPr>
      </w:pPr>
      <w:r w:rsidRPr="00C33100">
        <w:rPr>
          <w:rFonts w:ascii="Times New Roman" w:hAnsi="Times New Roman"/>
          <w:b/>
          <w:sz w:val="24"/>
          <w:szCs w:val="24"/>
        </w:rPr>
        <w:t>Zvláštní část správního práva</w:t>
      </w:r>
      <w:r w:rsidRPr="00A93FE2">
        <w:rPr>
          <w:rFonts w:ascii="Times New Roman" w:hAnsi="Times New Roman"/>
          <w:sz w:val="24"/>
          <w:szCs w:val="24"/>
        </w:rPr>
        <w:t xml:space="preserve"> jako hmotněprávní úprava jednotlivých úseků veřejné správy (VS)</w:t>
      </w:r>
      <w:r>
        <w:rPr>
          <w:rFonts w:ascii="Times New Roman" w:hAnsi="Times New Roman"/>
          <w:sz w:val="24"/>
          <w:szCs w:val="24"/>
        </w:rPr>
        <w:t xml:space="preserve"> zahrnuje kromě vnitřní správy, </w:t>
      </w:r>
      <w:r w:rsidRPr="00A93FE2">
        <w:rPr>
          <w:rFonts w:ascii="Times New Roman" w:hAnsi="Times New Roman"/>
          <w:sz w:val="24"/>
          <w:szCs w:val="24"/>
        </w:rPr>
        <w:t>VS na úseku živnostenského podnikání</w:t>
      </w:r>
      <w:r>
        <w:rPr>
          <w:rFonts w:ascii="Times New Roman" w:hAnsi="Times New Roman"/>
          <w:sz w:val="24"/>
          <w:szCs w:val="24"/>
        </w:rPr>
        <w:t>,</w:t>
      </w:r>
      <w:r w:rsidRPr="00A93FE2">
        <w:rPr>
          <w:rFonts w:ascii="Times New Roman" w:hAnsi="Times New Roman"/>
          <w:sz w:val="24"/>
          <w:szCs w:val="24"/>
        </w:rPr>
        <w:t xml:space="preserve"> VS na úseku zdravotnictví</w:t>
      </w:r>
      <w:r>
        <w:rPr>
          <w:rFonts w:ascii="Times New Roman" w:hAnsi="Times New Roman"/>
          <w:sz w:val="24"/>
          <w:szCs w:val="24"/>
        </w:rPr>
        <w:t>,</w:t>
      </w:r>
      <w:r w:rsidRPr="00A93FE2">
        <w:rPr>
          <w:rFonts w:ascii="Times New Roman" w:hAnsi="Times New Roman"/>
          <w:sz w:val="24"/>
          <w:szCs w:val="24"/>
        </w:rPr>
        <w:t xml:space="preserve"> VS na úseku katastru nemovitostí</w:t>
      </w:r>
      <w:r>
        <w:rPr>
          <w:rFonts w:ascii="Times New Roman" w:hAnsi="Times New Roman"/>
          <w:sz w:val="24"/>
          <w:szCs w:val="24"/>
        </w:rPr>
        <w:t>,</w:t>
      </w:r>
      <w:r w:rsidRPr="00A93FE2">
        <w:rPr>
          <w:rFonts w:ascii="Times New Roman" w:hAnsi="Times New Roman"/>
          <w:sz w:val="24"/>
          <w:szCs w:val="24"/>
        </w:rPr>
        <w:t xml:space="preserve"> V</w:t>
      </w:r>
      <w:r w:rsidR="00B5019E">
        <w:rPr>
          <w:rFonts w:ascii="Times New Roman" w:hAnsi="Times New Roman"/>
          <w:sz w:val="24"/>
          <w:szCs w:val="24"/>
        </w:rPr>
        <w:t>S na úseku územního plánování a </w:t>
      </w:r>
      <w:r w:rsidRPr="00A93FE2">
        <w:rPr>
          <w:rFonts w:ascii="Times New Roman" w:hAnsi="Times New Roman"/>
          <w:sz w:val="24"/>
          <w:szCs w:val="24"/>
        </w:rPr>
        <w:t>stavebního řádu</w:t>
      </w:r>
      <w:r>
        <w:rPr>
          <w:rFonts w:ascii="Times New Roman" w:hAnsi="Times New Roman"/>
          <w:sz w:val="24"/>
          <w:szCs w:val="24"/>
        </w:rPr>
        <w:t>,</w:t>
      </w:r>
      <w:r w:rsidRPr="00A93FE2">
        <w:rPr>
          <w:rFonts w:ascii="Times New Roman" w:hAnsi="Times New Roman"/>
          <w:sz w:val="24"/>
          <w:szCs w:val="24"/>
        </w:rPr>
        <w:t xml:space="preserve"> </w:t>
      </w:r>
      <w:r w:rsidR="00C33100">
        <w:rPr>
          <w:rFonts w:ascii="Times New Roman" w:hAnsi="Times New Roman"/>
          <w:sz w:val="24"/>
          <w:szCs w:val="24"/>
        </w:rPr>
        <w:t>b</w:t>
      </w:r>
      <w:r w:rsidRPr="00A93FE2">
        <w:rPr>
          <w:rFonts w:ascii="Times New Roman" w:hAnsi="Times New Roman"/>
          <w:sz w:val="24"/>
          <w:szCs w:val="24"/>
        </w:rPr>
        <w:t>ezpečnostní správ</w:t>
      </w:r>
      <w:r w:rsidR="00C33100">
        <w:rPr>
          <w:rFonts w:ascii="Times New Roman" w:hAnsi="Times New Roman"/>
          <w:sz w:val="24"/>
          <w:szCs w:val="24"/>
        </w:rPr>
        <w:t>y</w:t>
      </w:r>
      <w:r w:rsidRPr="00A93FE2">
        <w:rPr>
          <w:rFonts w:ascii="Times New Roman" w:hAnsi="Times New Roman"/>
          <w:sz w:val="24"/>
          <w:szCs w:val="24"/>
        </w:rPr>
        <w:t xml:space="preserve"> (správa policejní)</w:t>
      </w:r>
      <w:r>
        <w:rPr>
          <w:rFonts w:ascii="Times New Roman" w:hAnsi="Times New Roman"/>
          <w:sz w:val="24"/>
          <w:szCs w:val="24"/>
        </w:rPr>
        <w:t>,</w:t>
      </w:r>
      <w:r w:rsidRPr="00A93FE2">
        <w:rPr>
          <w:rFonts w:ascii="Times New Roman" w:hAnsi="Times New Roman"/>
          <w:sz w:val="24"/>
          <w:szCs w:val="24"/>
        </w:rPr>
        <w:t xml:space="preserve"> </w:t>
      </w:r>
      <w:r w:rsidR="00C33100">
        <w:rPr>
          <w:rFonts w:ascii="Times New Roman" w:hAnsi="Times New Roman"/>
          <w:sz w:val="24"/>
          <w:szCs w:val="24"/>
        </w:rPr>
        <w:t>s</w:t>
      </w:r>
      <w:r w:rsidRPr="00A93FE2">
        <w:rPr>
          <w:rFonts w:ascii="Times New Roman" w:hAnsi="Times New Roman"/>
          <w:sz w:val="24"/>
          <w:szCs w:val="24"/>
        </w:rPr>
        <w:t>práv</w:t>
      </w:r>
      <w:r w:rsidR="00C33100">
        <w:rPr>
          <w:rFonts w:ascii="Times New Roman" w:hAnsi="Times New Roman"/>
          <w:sz w:val="24"/>
          <w:szCs w:val="24"/>
        </w:rPr>
        <w:t>y</w:t>
      </w:r>
      <w:r w:rsidRPr="00A93FE2">
        <w:rPr>
          <w:rFonts w:ascii="Times New Roman" w:hAnsi="Times New Roman"/>
          <w:sz w:val="24"/>
          <w:szCs w:val="24"/>
        </w:rPr>
        <w:t xml:space="preserve"> obrany státu (dříve správa vojenská) </w:t>
      </w:r>
      <w:r w:rsidR="00C33100">
        <w:rPr>
          <w:rFonts w:ascii="Times New Roman" w:hAnsi="Times New Roman"/>
          <w:sz w:val="24"/>
          <w:szCs w:val="24"/>
        </w:rPr>
        <w:t xml:space="preserve">také </w:t>
      </w:r>
      <w:r w:rsidRPr="00A93FE2">
        <w:rPr>
          <w:rFonts w:ascii="Times New Roman" w:hAnsi="Times New Roman"/>
          <w:sz w:val="24"/>
          <w:szCs w:val="24"/>
        </w:rPr>
        <w:t>VS školství</w:t>
      </w:r>
      <w:r w:rsidR="00C33100">
        <w:rPr>
          <w:rFonts w:ascii="Times New Roman" w:hAnsi="Times New Roman"/>
          <w:sz w:val="24"/>
          <w:szCs w:val="24"/>
        </w:rPr>
        <w:t xml:space="preserve"> a</w:t>
      </w:r>
      <w:r w:rsidRPr="00A93FE2">
        <w:rPr>
          <w:rFonts w:ascii="Times New Roman" w:hAnsi="Times New Roman"/>
          <w:sz w:val="24"/>
          <w:szCs w:val="24"/>
        </w:rPr>
        <w:t xml:space="preserve"> VS na úseku zaměstnanosti</w:t>
      </w:r>
      <w:r w:rsidR="00C33100">
        <w:rPr>
          <w:rFonts w:ascii="Times New Roman" w:hAnsi="Times New Roman"/>
          <w:sz w:val="24"/>
          <w:szCs w:val="24"/>
        </w:rPr>
        <w:t>.</w:t>
      </w:r>
    </w:p>
    <w:p w:rsidR="00A93FE2" w:rsidRPr="00A93FE2" w:rsidRDefault="00A93FE2" w:rsidP="00A93FE2">
      <w:pPr>
        <w:jc w:val="both"/>
        <w:rPr>
          <w:rFonts w:ascii="Times New Roman" w:hAnsi="Times New Roman"/>
          <w:sz w:val="24"/>
          <w:szCs w:val="24"/>
        </w:rPr>
      </w:pPr>
    </w:p>
    <w:p w:rsidR="00890237" w:rsidRDefault="00890237" w:rsidP="00890237">
      <w:pPr>
        <w:jc w:val="both"/>
        <w:rPr>
          <w:rFonts w:ascii="Times New Roman" w:hAnsi="Times New Roman"/>
          <w:sz w:val="24"/>
          <w:szCs w:val="24"/>
        </w:rPr>
      </w:pPr>
      <w:r w:rsidRPr="00890237">
        <w:rPr>
          <w:rFonts w:ascii="Times New Roman" w:hAnsi="Times New Roman"/>
          <w:sz w:val="24"/>
          <w:szCs w:val="24"/>
        </w:rPr>
        <w:t>2. Správa na úseku školství</w:t>
      </w:r>
    </w:p>
    <w:p w:rsidR="00890237" w:rsidRDefault="00C33100" w:rsidP="00C33100">
      <w:pPr>
        <w:jc w:val="both"/>
        <w:rPr>
          <w:rFonts w:ascii="Times New Roman" w:hAnsi="Times New Roman"/>
          <w:sz w:val="24"/>
          <w:szCs w:val="24"/>
        </w:rPr>
      </w:pPr>
      <w:r w:rsidRPr="00C33100">
        <w:rPr>
          <w:rFonts w:ascii="Times New Roman" w:hAnsi="Times New Roman"/>
          <w:b/>
          <w:sz w:val="24"/>
          <w:szCs w:val="24"/>
        </w:rPr>
        <w:lastRenderedPageBreak/>
        <w:t>Veřejná správa školství</w:t>
      </w:r>
      <w:r w:rsidRPr="00C33100">
        <w:rPr>
          <w:rFonts w:ascii="Times New Roman" w:hAnsi="Times New Roman"/>
          <w:sz w:val="24"/>
          <w:szCs w:val="24"/>
        </w:rPr>
        <w:t xml:space="preserve"> se zaměřuje na vymezení škol a studia na nich, na výkon státní správy a samosprávy ve školství regio</w:t>
      </w:r>
      <w:r>
        <w:rPr>
          <w:rFonts w:ascii="Times New Roman" w:hAnsi="Times New Roman"/>
          <w:sz w:val="24"/>
          <w:szCs w:val="24"/>
        </w:rPr>
        <w:t xml:space="preserve">nálním i vysokém. </w:t>
      </w:r>
      <w:r w:rsidRPr="00C33100">
        <w:rPr>
          <w:rFonts w:ascii="Times New Roman" w:hAnsi="Times New Roman"/>
          <w:sz w:val="24"/>
          <w:szCs w:val="24"/>
        </w:rPr>
        <w:t>Organizaci veřejné správy školství reprezentuje Ministerstvo školství, mládeže a tělovýchovy, Česká školní inspekce, krajský úřad a obecní úřad obce s rozšířenou působností v přenesené působnosti, kraj a obec.</w:t>
      </w:r>
      <w:r>
        <w:rPr>
          <w:rFonts w:ascii="Times New Roman" w:hAnsi="Times New Roman"/>
          <w:sz w:val="24"/>
          <w:szCs w:val="24"/>
        </w:rPr>
        <w:t xml:space="preserve"> Mezi oblasti veřejné správy školství patří oblast r</w:t>
      </w:r>
      <w:r w:rsidRPr="00C33100">
        <w:rPr>
          <w:rFonts w:ascii="Times New Roman" w:hAnsi="Times New Roman"/>
          <w:sz w:val="24"/>
          <w:szCs w:val="24"/>
        </w:rPr>
        <w:t>egionální</w:t>
      </w:r>
      <w:r>
        <w:rPr>
          <w:rFonts w:ascii="Times New Roman" w:hAnsi="Times New Roman"/>
          <w:sz w:val="24"/>
          <w:szCs w:val="24"/>
        </w:rPr>
        <w:t>ho</w:t>
      </w:r>
      <w:r w:rsidRPr="00C33100">
        <w:rPr>
          <w:rFonts w:ascii="Times New Roman" w:hAnsi="Times New Roman"/>
          <w:sz w:val="24"/>
          <w:szCs w:val="24"/>
        </w:rPr>
        <w:t xml:space="preserve"> školst</w:t>
      </w:r>
      <w:r>
        <w:rPr>
          <w:rFonts w:ascii="Times New Roman" w:hAnsi="Times New Roman"/>
          <w:sz w:val="24"/>
          <w:szCs w:val="24"/>
        </w:rPr>
        <w:t>ví a dále v</w:t>
      </w:r>
      <w:r w:rsidRPr="00C33100">
        <w:rPr>
          <w:rFonts w:ascii="Times New Roman" w:hAnsi="Times New Roman"/>
          <w:sz w:val="24"/>
          <w:szCs w:val="24"/>
        </w:rPr>
        <w:t>ysoké</w:t>
      </w:r>
      <w:r>
        <w:rPr>
          <w:rFonts w:ascii="Times New Roman" w:hAnsi="Times New Roman"/>
          <w:sz w:val="24"/>
          <w:szCs w:val="24"/>
        </w:rPr>
        <w:t>ho</w:t>
      </w:r>
      <w:r w:rsidRPr="00C33100">
        <w:rPr>
          <w:rFonts w:ascii="Times New Roman" w:hAnsi="Times New Roman"/>
          <w:sz w:val="24"/>
          <w:szCs w:val="24"/>
        </w:rPr>
        <w:t xml:space="preserve"> školství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33100">
        <w:rPr>
          <w:rFonts w:ascii="Times New Roman" w:hAnsi="Times New Roman"/>
          <w:sz w:val="24"/>
          <w:szCs w:val="24"/>
        </w:rPr>
        <w:t>Organizace veřejné správy školství</w:t>
      </w:r>
      <w:r>
        <w:rPr>
          <w:rFonts w:ascii="Times New Roman" w:hAnsi="Times New Roman"/>
          <w:sz w:val="24"/>
          <w:szCs w:val="24"/>
        </w:rPr>
        <w:t xml:space="preserve"> je reprezentována Ministerstvem</w:t>
      </w:r>
      <w:r w:rsidRPr="00C33100">
        <w:rPr>
          <w:rFonts w:ascii="Times New Roman" w:hAnsi="Times New Roman"/>
          <w:sz w:val="24"/>
          <w:szCs w:val="24"/>
        </w:rPr>
        <w:t xml:space="preserve"> šk</w:t>
      </w:r>
      <w:r w:rsidR="00B5019E">
        <w:rPr>
          <w:rFonts w:ascii="Times New Roman" w:hAnsi="Times New Roman"/>
          <w:sz w:val="24"/>
          <w:szCs w:val="24"/>
        </w:rPr>
        <w:t>olství, mládeže a </w:t>
      </w:r>
      <w:r>
        <w:rPr>
          <w:rFonts w:ascii="Times New Roman" w:hAnsi="Times New Roman"/>
          <w:sz w:val="24"/>
          <w:szCs w:val="24"/>
        </w:rPr>
        <w:t xml:space="preserve">tělovýchovy, Českou školní inspekcí, </w:t>
      </w:r>
      <w:r w:rsidRPr="00C33100">
        <w:rPr>
          <w:rFonts w:ascii="Times New Roman" w:hAnsi="Times New Roman"/>
          <w:sz w:val="24"/>
          <w:szCs w:val="24"/>
        </w:rPr>
        <w:t>krajský</w:t>
      </w:r>
      <w:r>
        <w:rPr>
          <w:rFonts w:ascii="Times New Roman" w:hAnsi="Times New Roman"/>
          <w:sz w:val="24"/>
          <w:szCs w:val="24"/>
        </w:rPr>
        <w:t>mi</w:t>
      </w:r>
      <w:r w:rsidRPr="00C33100">
        <w:rPr>
          <w:rFonts w:ascii="Times New Roman" w:hAnsi="Times New Roman"/>
          <w:sz w:val="24"/>
          <w:szCs w:val="24"/>
        </w:rPr>
        <w:t xml:space="preserve"> úřad</w:t>
      </w:r>
      <w:r>
        <w:rPr>
          <w:rFonts w:ascii="Times New Roman" w:hAnsi="Times New Roman"/>
          <w:sz w:val="24"/>
          <w:szCs w:val="24"/>
        </w:rPr>
        <w:t>y</w:t>
      </w:r>
      <w:r w:rsidRPr="00C33100">
        <w:rPr>
          <w:rFonts w:ascii="Times New Roman" w:hAnsi="Times New Roman"/>
          <w:sz w:val="24"/>
          <w:szCs w:val="24"/>
        </w:rPr>
        <w:t xml:space="preserve"> a obecní</w:t>
      </w:r>
      <w:r>
        <w:rPr>
          <w:rFonts w:ascii="Times New Roman" w:hAnsi="Times New Roman"/>
          <w:sz w:val="24"/>
          <w:szCs w:val="24"/>
        </w:rPr>
        <w:t>mi</w:t>
      </w:r>
      <w:r w:rsidRPr="00C33100">
        <w:rPr>
          <w:rFonts w:ascii="Times New Roman" w:hAnsi="Times New Roman"/>
          <w:sz w:val="24"/>
          <w:szCs w:val="24"/>
        </w:rPr>
        <w:t xml:space="preserve"> úřad</w:t>
      </w:r>
      <w:r>
        <w:rPr>
          <w:rFonts w:ascii="Times New Roman" w:hAnsi="Times New Roman"/>
          <w:sz w:val="24"/>
          <w:szCs w:val="24"/>
        </w:rPr>
        <w:t>y obcí</w:t>
      </w:r>
      <w:r w:rsidRPr="00C33100">
        <w:rPr>
          <w:rFonts w:ascii="Times New Roman" w:hAnsi="Times New Roman"/>
          <w:sz w:val="24"/>
          <w:szCs w:val="24"/>
        </w:rPr>
        <w:t xml:space="preserve"> s rozšířenou půso</w:t>
      </w:r>
      <w:r>
        <w:rPr>
          <w:rFonts w:ascii="Times New Roman" w:hAnsi="Times New Roman"/>
          <w:sz w:val="24"/>
          <w:szCs w:val="24"/>
        </w:rPr>
        <w:t xml:space="preserve">bností v přenesené působnosti a </w:t>
      </w:r>
      <w:r w:rsidRPr="00C33100">
        <w:rPr>
          <w:rFonts w:ascii="Times New Roman" w:hAnsi="Times New Roman"/>
          <w:sz w:val="24"/>
          <w:szCs w:val="24"/>
        </w:rPr>
        <w:t>kraj</w:t>
      </w:r>
      <w:r>
        <w:rPr>
          <w:rFonts w:ascii="Times New Roman" w:hAnsi="Times New Roman"/>
          <w:sz w:val="24"/>
          <w:szCs w:val="24"/>
        </w:rPr>
        <w:t>i a ob</w:t>
      </w:r>
      <w:r w:rsidRPr="00C33100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emi.</w:t>
      </w:r>
    </w:p>
    <w:p w:rsidR="00C33100" w:rsidRDefault="00C33100" w:rsidP="00C33100">
      <w:pPr>
        <w:jc w:val="both"/>
        <w:rPr>
          <w:rFonts w:ascii="Times New Roman" w:hAnsi="Times New Roman"/>
          <w:sz w:val="24"/>
          <w:szCs w:val="24"/>
        </w:rPr>
      </w:pPr>
      <w:r w:rsidRPr="00C33100">
        <w:rPr>
          <w:rFonts w:ascii="Times New Roman" w:hAnsi="Times New Roman"/>
          <w:b/>
          <w:sz w:val="24"/>
          <w:szCs w:val="24"/>
        </w:rPr>
        <w:t>Prameny právní úpravy veřejné správy školství</w:t>
      </w:r>
      <w:r>
        <w:rPr>
          <w:rFonts w:ascii="Times New Roman" w:hAnsi="Times New Roman"/>
          <w:sz w:val="24"/>
          <w:szCs w:val="24"/>
        </w:rPr>
        <w:t xml:space="preserve"> představují </w:t>
      </w:r>
      <w:r w:rsidRPr="00C33100">
        <w:rPr>
          <w:rFonts w:ascii="Times New Roman" w:hAnsi="Times New Roman"/>
          <w:sz w:val="24"/>
          <w:szCs w:val="24"/>
        </w:rPr>
        <w:t>L</w:t>
      </w:r>
      <w:r w:rsidR="00B5019E">
        <w:rPr>
          <w:rFonts w:ascii="Times New Roman" w:hAnsi="Times New Roman"/>
          <w:sz w:val="24"/>
          <w:szCs w:val="24"/>
        </w:rPr>
        <w:t>istina základních práv a </w:t>
      </w:r>
      <w:r>
        <w:rPr>
          <w:rFonts w:ascii="Times New Roman" w:hAnsi="Times New Roman"/>
          <w:sz w:val="24"/>
          <w:szCs w:val="24"/>
        </w:rPr>
        <w:t>svobod, z</w:t>
      </w:r>
      <w:r w:rsidRPr="00C33100">
        <w:rPr>
          <w:rFonts w:ascii="Times New Roman" w:hAnsi="Times New Roman"/>
          <w:sz w:val="24"/>
          <w:szCs w:val="24"/>
        </w:rPr>
        <w:t>ákon č. 111/1998 Sb., o vysokých školách a o změně a doplnění dalších zákonů (zákon o vysokých školách)</w:t>
      </w:r>
      <w:r>
        <w:rPr>
          <w:rFonts w:ascii="Times New Roman" w:hAnsi="Times New Roman"/>
          <w:sz w:val="24"/>
          <w:szCs w:val="24"/>
        </w:rPr>
        <w:t>, ve znění pozdějších předpisů, z</w:t>
      </w:r>
      <w:r w:rsidRPr="00C33100">
        <w:rPr>
          <w:rFonts w:ascii="Times New Roman" w:hAnsi="Times New Roman"/>
          <w:sz w:val="24"/>
          <w:szCs w:val="24"/>
        </w:rPr>
        <w:t>ákon č. 109/2002 Sb., o výkonu ústavní výchovy nebo ochranné výchovy ve školských zařízeních a o preventivně výchovné péči ve školských zařízeních a o změně dalších zákonů</w:t>
      </w:r>
      <w:r>
        <w:rPr>
          <w:rFonts w:ascii="Times New Roman" w:hAnsi="Times New Roman"/>
          <w:sz w:val="24"/>
          <w:szCs w:val="24"/>
        </w:rPr>
        <w:t>, ve znění pozdějších předpisů, z</w:t>
      </w:r>
      <w:r w:rsidRPr="00C33100">
        <w:rPr>
          <w:rFonts w:ascii="Times New Roman" w:hAnsi="Times New Roman"/>
          <w:sz w:val="24"/>
          <w:szCs w:val="24"/>
        </w:rPr>
        <w:t>ákon č. 561/2004 Sb., o předškolním, základním, středním, vyšším odborném a jiném vzdělávání (školský zákon), ve znění pozdějších předpisů.</w:t>
      </w:r>
    </w:p>
    <w:p w:rsidR="00C33100" w:rsidRPr="00890237" w:rsidRDefault="00C33100" w:rsidP="00C331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Mezi základní pojmy na úseku veřejné správy školství patří právo na vzdělání </w:t>
      </w:r>
      <w:r w:rsidRPr="00C33100">
        <w:rPr>
          <w:rFonts w:ascii="Times New Roman" w:hAnsi="Times New Roman"/>
          <w:sz w:val="24"/>
          <w:szCs w:val="24"/>
        </w:rPr>
        <w:t>vzdělávací soustava, výchova a vzdělávání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33100">
        <w:rPr>
          <w:rFonts w:ascii="Times New Roman" w:hAnsi="Times New Roman"/>
          <w:sz w:val="24"/>
          <w:szCs w:val="24"/>
        </w:rPr>
        <w:t>předškolní vzdělávání, základní vzdělávání, vyšší odborné vzdělávání, vzdělávání v konzervatoři a další vzdělávání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33100">
        <w:rPr>
          <w:rFonts w:ascii="Times New Roman" w:hAnsi="Times New Roman"/>
          <w:sz w:val="24"/>
          <w:szCs w:val="24"/>
        </w:rPr>
        <w:t>veřejné, státní a soukromé vysoké školy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33100">
        <w:rPr>
          <w:rFonts w:ascii="Times New Roman" w:hAnsi="Times New Roman"/>
          <w:sz w:val="24"/>
          <w:szCs w:val="24"/>
        </w:rPr>
        <w:t>univerzitní a neuniverzitní vysoké školy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33100">
        <w:rPr>
          <w:rFonts w:ascii="Times New Roman" w:hAnsi="Times New Roman"/>
          <w:sz w:val="24"/>
          <w:szCs w:val="24"/>
        </w:rPr>
        <w:t>orgány vysoké školy, vnitřní předpisy vysoké školy, akademická obec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33100">
        <w:rPr>
          <w:rFonts w:ascii="Times New Roman" w:hAnsi="Times New Roman"/>
          <w:sz w:val="24"/>
          <w:szCs w:val="24"/>
        </w:rPr>
        <w:t>akreditace, studijní program a studijní obor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33100">
        <w:rPr>
          <w:rFonts w:ascii="Times New Roman" w:hAnsi="Times New Roman"/>
          <w:sz w:val="24"/>
          <w:szCs w:val="24"/>
        </w:rPr>
        <w:t>studium – bakalářský, magisterský a doktorský studijní program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33100">
        <w:rPr>
          <w:rFonts w:ascii="Times New Roman" w:hAnsi="Times New Roman"/>
          <w:sz w:val="24"/>
          <w:szCs w:val="24"/>
        </w:rPr>
        <w:t>rozhodování o pr</w:t>
      </w:r>
      <w:r w:rsidR="00B5019E">
        <w:rPr>
          <w:rFonts w:ascii="Times New Roman" w:hAnsi="Times New Roman"/>
          <w:sz w:val="24"/>
          <w:szCs w:val="24"/>
        </w:rPr>
        <w:t>ávech a povinnostech studentů a </w:t>
      </w:r>
      <w:r w:rsidRPr="00C33100">
        <w:rPr>
          <w:rFonts w:ascii="Times New Roman" w:hAnsi="Times New Roman"/>
          <w:sz w:val="24"/>
          <w:szCs w:val="24"/>
        </w:rPr>
        <w:t>uchazečů, rozhodování o právech a povinnostech akademických pracovníků</w:t>
      </w:r>
      <w:r>
        <w:rPr>
          <w:rFonts w:ascii="Times New Roman" w:hAnsi="Times New Roman"/>
          <w:sz w:val="24"/>
          <w:szCs w:val="24"/>
        </w:rPr>
        <w:t>.</w:t>
      </w:r>
    </w:p>
    <w:p w:rsidR="00890237" w:rsidRDefault="00890237" w:rsidP="00890237">
      <w:pPr>
        <w:jc w:val="both"/>
        <w:rPr>
          <w:rFonts w:ascii="Times New Roman" w:hAnsi="Times New Roman"/>
          <w:sz w:val="24"/>
          <w:szCs w:val="24"/>
        </w:rPr>
      </w:pPr>
      <w:r w:rsidRPr="00890237">
        <w:rPr>
          <w:rFonts w:ascii="Times New Roman" w:hAnsi="Times New Roman"/>
          <w:sz w:val="24"/>
          <w:szCs w:val="24"/>
        </w:rPr>
        <w:t>3. Správa na úseku zaměstnanosti</w:t>
      </w:r>
    </w:p>
    <w:p w:rsidR="00C33100" w:rsidRDefault="00C33100" w:rsidP="00C33100">
      <w:pPr>
        <w:jc w:val="both"/>
        <w:rPr>
          <w:rFonts w:ascii="Times New Roman" w:hAnsi="Times New Roman"/>
          <w:sz w:val="24"/>
          <w:szCs w:val="24"/>
        </w:rPr>
      </w:pPr>
      <w:r w:rsidRPr="00B5019E">
        <w:rPr>
          <w:rFonts w:ascii="Times New Roman" w:hAnsi="Times New Roman"/>
          <w:b/>
          <w:sz w:val="24"/>
          <w:szCs w:val="24"/>
        </w:rPr>
        <w:t xml:space="preserve">Veřejná správa na úseku </w:t>
      </w:r>
      <w:r w:rsidR="00B5019E">
        <w:rPr>
          <w:rFonts w:ascii="Times New Roman" w:hAnsi="Times New Roman"/>
          <w:b/>
          <w:sz w:val="24"/>
          <w:szCs w:val="24"/>
        </w:rPr>
        <w:t xml:space="preserve">správy </w:t>
      </w:r>
      <w:r w:rsidRPr="00B5019E">
        <w:rPr>
          <w:rFonts w:ascii="Times New Roman" w:hAnsi="Times New Roman"/>
          <w:b/>
          <w:sz w:val="24"/>
          <w:szCs w:val="24"/>
        </w:rPr>
        <w:t>zaměstnanosti</w:t>
      </w:r>
      <w:r w:rsidRPr="00C33100">
        <w:rPr>
          <w:rFonts w:ascii="Times New Roman" w:hAnsi="Times New Roman"/>
          <w:sz w:val="24"/>
          <w:szCs w:val="24"/>
        </w:rPr>
        <w:t xml:space="preserve"> se zaměřuje na organizaci a činnost Ministerstva práce a sociálních věcí a úřadů práce v otázkách </w:t>
      </w:r>
      <w:r w:rsidR="00B5019E">
        <w:rPr>
          <w:rFonts w:ascii="Times New Roman" w:hAnsi="Times New Roman"/>
          <w:sz w:val="24"/>
          <w:szCs w:val="24"/>
        </w:rPr>
        <w:t xml:space="preserve">zaměstnanosti. </w:t>
      </w:r>
      <w:r w:rsidRPr="00C33100">
        <w:rPr>
          <w:rFonts w:ascii="Times New Roman" w:hAnsi="Times New Roman"/>
          <w:sz w:val="24"/>
          <w:szCs w:val="24"/>
        </w:rPr>
        <w:t>Organizace veřejné správy na úseku zaměstnanosti je realizována např. Ministerstvem práce a sociálních věcí ČR, Úřadem práce ČR – Generálním ředitelstvím Úřadu práce ČR, krajskými pobočkami Úřadu práce a kontaktními pracovišti Úřadu práce ČR.</w:t>
      </w:r>
    </w:p>
    <w:p w:rsidR="00B5019E" w:rsidRDefault="00B5019E" w:rsidP="00B501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Mezi </w:t>
      </w:r>
      <w:r w:rsidRPr="00B5019E">
        <w:rPr>
          <w:rFonts w:ascii="Times New Roman" w:hAnsi="Times New Roman"/>
          <w:b/>
          <w:sz w:val="24"/>
          <w:szCs w:val="24"/>
        </w:rPr>
        <w:t xml:space="preserve">prameny právní úpravy </w:t>
      </w:r>
      <w:r>
        <w:rPr>
          <w:rFonts w:ascii="Times New Roman" w:hAnsi="Times New Roman"/>
          <w:b/>
          <w:sz w:val="24"/>
          <w:szCs w:val="24"/>
        </w:rPr>
        <w:t xml:space="preserve">na úseku správy </w:t>
      </w:r>
      <w:r w:rsidRPr="00B5019E">
        <w:rPr>
          <w:rFonts w:ascii="Times New Roman" w:hAnsi="Times New Roman"/>
          <w:b/>
          <w:sz w:val="24"/>
          <w:szCs w:val="24"/>
        </w:rPr>
        <w:t>zaměstnanosti</w:t>
      </w:r>
      <w:r>
        <w:rPr>
          <w:rFonts w:ascii="Times New Roman" w:hAnsi="Times New Roman"/>
          <w:sz w:val="24"/>
          <w:szCs w:val="24"/>
        </w:rPr>
        <w:t xml:space="preserve"> patří </w:t>
      </w:r>
      <w:r w:rsidRPr="00B5019E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istina základních práv a svobod, z</w:t>
      </w:r>
      <w:r w:rsidRPr="00B5019E">
        <w:rPr>
          <w:rFonts w:ascii="Times New Roman" w:hAnsi="Times New Roman"/>
          <w:sz w:val="24"/>
          <w:szCs w:val="24"/>
        </w:rPr>
        <w:t>ákon č. 435/2004 Sb., o zaměstnanosti, ve z</w:t>
      </w:r>
      <w:r>
        <w:rPr>
          <w:rFonts w:ascii="Times New Roman" w:hAnsi="Times New Roman"/>
          <w:sz w:val="24"/>
          <w:szCs w:val="24"/>
        </w:rPr>
        <w:t>nění pozdějších předpisů, zákon č. </w:t>
      </w:r>
      <w:r w:rsidRPr="00B5019E">
        <w:rPr>
          <w:rFonts w:ascii="Times New Roman" w:hAnsi="Times New Roman"/>
          <w:sz w:val="24"/>
          <w:szCs w:val="24"/>
        </w:rPr>
        <w:t>251/2005 Sb., o inspekci práce</w:t>
      </w:r>
      <w:r>
        <w:rPr>
          <w:rFonts w:ascii="Times New Roman" w:hAnsi="Times New Roman"/>
          <w:sz w:val="24"/>
          <w:szCs w:val="24"/>
        </w:rPr>
        <w:t>, ve znění pozdějších předpisů, zákon č. 73/2011 Sb., o </w:t>
      </w:r>
      <w:r w:rsidRPr="00B5019E">
        <w:rPr>
          <w:rFonts w:ascii="Times New Roman" w:hAnsi="Times New Roman"/>
          <w:sz w:val="24"/>
          <w:szCs w:val="24"/>
        </w:rPr>
        <w:t>Úřadu práce České republiky a o změně souvisejících zákonů, ve znění pozdějších předpisů.</w:t>
      </w:r>
    </w:p>
    <w:p w:rsidR="00B5019E" w:rsidRDefault="00B5019E" w:rsidP="00B501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Mezi základní pojmy na úseku správy zaměstnanosti patří právo na zaměstnání, </w:t>
      </w:r>
      <w:r w:rsidRPr="00B5019E">
        <w:rPr>
          <w:rFonts w:ascii="Times New Roman" w:hAnsi="Times New Roman"/>
          <w:sz w:val="24"/>
          <w:szCs w:val="24"/>
        </w:rPr>
        <w:t>vhodné zaměstnání</w:t>
      </w:r>
      <w:r>
        <w:rPr>
          <w:rFonts w:ascii="Times New Roman" w:hAnsi="Times New Roman"/>
          <w:sz w:val="24"/>
          <w:szCs w:val="24"/>
        </w:rPr>
        <w:t xml:space="preserve">, státní politika zaměstnanosti, </w:t>
      </w:r>
      <w:r w:rsidRPr="00B5019E">
        <w:rPr>
          <w:rFonts w:ascii="Times New Roman" w:hAnsi="Times New Roman"/>
          <w:sz w:val="24"/>
          <w:szCs w:val="24"/>
        </w:rPr>
        <w:t>aktivní politika zaměstnanosti,</w:t>
      </w:r>
      <w:r>
        <w:rPr>
          <w:rFonts w:ascii="Times New Roman" w:hAnsi="Times New Roman"/>
          <w:sz w:val="24"/>
          <w:szCs w:val="24"/>
        </w:rPr>
        <w:t xml:space="preserve"> pasivní politika zaměstnanosti, </w:t>
      </w:r>
      <w:r w:rsidRPr="00B5019E">
        <w:rPr>
          <w:rFonts w:ascii="Times New Roman" w:hAnsi="Times New Roman"/>
          <w:sz w:val="24"/>
          <w:szCs w:val="24"/>
        </w:rPr>
        <w:t>zásada bezplatnos</w:t>
      </w:r>
      <w:r>
        <w:rPr>
          <w:rFonts w:ascii="Times New Roman" w:hAnsi="Times New Roman"/>
          <w:sz w:val="24"/>
          <w:szCs w:val="24"/>
        </w:rPr>
        <w:t xml:space="preserve">ti a zprostředkování zaměstnání, rekvalifikace, </w:t>
      </w:r>
      <w:r w:rsidRPr="00B5019E">
        <w:rPr>
          <w:rFonts w:ascii="Times New Roman" w:hAnsi="Times New Roman"/>
          <w:sz w:val="24"/>
          <w:szCs w:val="24"/>
        </w:rPr>
        <w:t>úloha Ministers</w:t>
      </w:r>
      <w:r>
        <w:rPr>
          <w:rFonts w:ascii="Times New Roman" w:hAnsi="Times New Roman"/>
          <w:sz w:val="24"/>
          <w:szCs w:val="24"/>
        </w:rPr>
        <w:t xml:space="preserve">tva práce a sociálních věcí ČR, </w:t>
      </w:r>
      <w:r w:rsidRPr="00B5019E">
        <w:rPr>
          <w:rFonts w:ascii="Times New Roman" w:hAnsi="Times New Roman"/>
          <w:sz w:val="24"/>
          <w:szCs w:val="24"/>
        </w:rPr>
        <w:t>úloha Generál</w:t>
      </w:r>
      <w:r>
        <w:rPr>
          <w:rFonts w:ascii="Times New Roman" w:hAnsi="Times New Roman"/>
          <w:sz w:val="24"/>
          <w:szCs w:val="24"/>
        </w:rPr>
        <w:t xml:space="preserve">ního ředitelství Úřadu práce ČR, </w:t>
      </w:r>
      <w:r w:rsidRPr="00B5019E">
        <w:rPr>
          <w:rFonts w:ascii="Times New Roman" w:hAnsi="Times New Roman"/>
          <w:sz w:val="24"/>
          <w:szCs w:val="24"/>
        </w:rPr>
        <w:t>úl</w:t>
      </w:r>
      <w:r>
        <w:rPr>
          <w:rFonts w:ascii="Times New Roman" w:hAnsi="Times New Roman"/>
          <w:sz w:val="24"/>
          <w:szCs w:val="24"/>
        </w:rPr>
        <w:t xml:space="preserve">oha Krajské pobočky Úřadu práce, </w:t>
      </w:r>
      <w:r w:rsidRPr="00B5019E">
        <w:rPr>
          <w:rFonts w:ascii="Times New Roman" w:hAnsi="Times New Roman"/>
          <w:sz w:val="24"/>
          <w:szCs w:val="24"/>
        </w:rPr>
        <w:t>obecní a</w:t>
      </w:r>
      <w:r>
        <w:rPr>
          <w:rFonts w:ascii="Times New Roman" w:hAnsi="Times New Roman"/>
          <w:sz w:val="24"/>
          <w:szCs w:val="24"/>
        </w:rPr>
        <w:t xml:space="preserve"> krajské zřízení a zaměstnanost, </w:t>
      </w:r>
      <w:r w:rsidRPr="00B5019E">
        <w:rPr>
          <w:rFonts w:ascii="Times New Roman" w:hAnsi="Times New Roman"/>
          <w:sz w:val="24"/>
          <w:szCs w:val="24"/>
        </w:rPr>
        <w:t>kontrolní mechanismy na úseku zaměstnanosti</w:t>
      </w:r>
      <w:r>
        <w:rPr>
          <w:rFonts w:ascii="Times New Roman" w:hAnsi="Times New Roman"/>
          <w:sz w:val="24"/>
          <w:szCs w:val="24"/>
        </w:rPr>
        <w:t>.</w:t>
      </w:r>
    </w:p>
    <w:p w:rsidR="003A076F" w:rsidRDefault="003A076F" w:rsidP="00890237">
      <w:pPr>
        <w:jc w:val="both"/>
        <w:rPr>
          <w:rFonts w:ascii="Times New Roman" w:hAnsi="Times New Roman"/>
          <w:sz w:val="24"/>
          <w:szCs w:val="24"/>
        </w:rPr>
      </w:pPr>
    </w:p>
    <w:p w:rsidR="005B263D" w:rsidRDefault="00890237" w:rsidP="00890237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90237">
        <w:rPr>
          <w:rFonts w:ascii="Times New Roman" w:hAnsi="Times New Roman"/>
          <w:sz w:val="24"/>
          <w:szCs w:val="24"/>
        </w:rPr>
        <w:lastRenderedPageBreak/>
        <w:t>Závěr</w:t>
      </w:r>
    </w:p>
    <w:p w:rsidR="00B5019E" w:rsidRPr="009F0088" w:rsidRDefault="00B5019E" w:rsidP="00890237">
      <w:pPr>
        <w:jc w:val="both"/>
        <w:rPr>
          <w:rFonts w:ascii="Times New Roman" w:hAnsi="Times New Roman"/>
          <w:sz w:val="24"/>
          <w:szCs w:val="24"/>
        </w:rPr>
      </w:pPr>
      <w:r w:rsidRPr="00B5019E">
        <w:rPr>
          <w:rFonts w:ascii="Times New Roman" w:hAnsi="Times New Roman"/>
          <w:sz w:val="24"/>
          <w:szCs w:val="24"/>
        </w:rPr>
        <w:t>Veřejnou správu ve školství reprezentuje jak regionální školství upravené tzv. školským zákonem, tak školství vysoké, regulované tzv. vysokoškolským zákonem. Úkolem správy na úseku zaměstnanosti je zajišťování práva na zaměstnání.</w:t>
      </w:r>
    </w:p>
    <w:sectPr w:rsidR="00B5019E" w:rsidRPr="009F0088" w:rsidSect="00E629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488" w:rsidRDefault="00272488" w:rsidP="00AD5A85">
      <w:pPr>
        <w:spacing w:after="0" w:line="240" w:lineRule="auto"/>
      </w:pPr>
      <w:r>
        <w:separator/>
      </w:r>
    </w:p>
  </w:endnote>
  <w:endnote w:type="continuationSeparator" w:id="0">
    <w:p w:rsidR="00272488" w:rsidRDefault="00272488" w:rsidP="00A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7C" w:rsidRDefault="00171349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27248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7C" w:rsidRDefault="002724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488" w:rsidRDefault="00272488" w:rsidP="00AD5A85">
      <w:pPr>
        <w:spacing w:after="0" w:line="240" w:lineRule="auto"/>
      </w:pPr>
      <w:r>
        <w:separator/>
      </w:r>
    </w:p>
  </w:footnote>
  <w:footnote w:type="continuationSeparator" w:id="0">
    <w:p w:rsidR="00272488" w:rsidRDefault="00272488" w:rsidP="00AD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3437"/>
    <w:multiLevelType w:val="hybridMultilevel"/>
    <w:tmpl w:val="D1FC3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D4DAA"/>
    <w:multiLevelType w:val="hybridMultilevel"/>
    <w:tmpl w:val="8B7CB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B4EF1"/>
    <w:multiLevelType w:val="hybridMultilevel"/>
    <w:tmpl w:val="95208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C3B18"/>
    <w:multiLevelType w:val="multilevel"/>
    <w:tmpl w:val="7B4A26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8F7233"/>
    <w:multiLevelType w:val="hybridMultilevel"/>
    <w:tmpl w:val="C588AF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A7F4F"/>
    <w:multiLevelType w:val="hybridMultilevel"/>
    <w:tmpl w:val="984AF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EB"/>
    <w:rsid w:val="000105B0"/>
    <w:rsid w:val="0003725E"/>
    <w:rsid w:val="00093133"/>
    <w:rsid w:val="000A76D4"/>
    <w:rsid w:val="000B055C"/>
    <w:rsid w:val="000E2137"/>
    <w:rsid w:val="000E382D"/>
    <w:rsid w:val="001414A4"/>
    <w:rsid w:val="00171349"/>
    <w:rsid w:val="001B7694"/>
    <w:rsid w:val="001D56C7"/>
    <w:rsid w:val="001E68DB"/>
    <w:rsid w:val="00213505"/>
    <w:rsid w:val="002245DF"/>
    <w:rsid w:val="00225FE1"/>
    <w:rsid w:val="00236B33"/>
    <w:rsid w:val="00272488"/>
    <w:rsid w:val="00276207"/>
    <w:rsid w:val="0027722D"/>
    <w:rsid w:val="00297E90"/>
    <w:rsid w:val="002B0E2D"/>
    <w:rsid w:val="002C2BBC"/>
    <w:rsid w:val="002C3CEC"/>
    <w:rsid w:val="002D2E62"/>
    <w:rsid w:val="00396497"/>
    <w:rsid w:val="003A076F"/>
    <w:rsid w:val="003A1A04"/>
    <w:rsid w:val="003F22EB"/>
    <w:rsid w:val="00424E37"/>
    <w:rsid w:val="004733EC"/>
    <w:rsid w:val="00483D68"/>
    <w:rsid w:val="00511C20"/>
    <w:rsid w:val="0059235B"/>
    <w:rsid w:val="005B263D"/>
    <w:rsid w:val="005D5AAD"/>
    <w:rsid w:val="005F77ED"/>
    <w:rsid w:val="0060135D"/>
    <w:rsid w:val="00637BA0"/>
    <w:rsid w:val="006430D2"/>
    <w:rsid w:val="00653A3B"/>
    <w:rsid w:val="00686374"/>
    <w:rsid w:val="00686F19"/>
    <w:rsid w:val="00735B1D"/>
    <w:rsid w:val="007E0B84"/>
    <w:rsid w:val="007E5795"/>
    <w:rsid w:val="008179D7"/>
    <w:rsid w:val="00842745"/>
    <w:rsid w:val="00890237"/>
    <w:rsid w:val="008A434F"/>
    <w:rsid w:val="008B2B68"/>
    <w:rsid w:val="008B30DB"/>
    <w:rsid w:val="008B752C"/>
    <w:rsid w:val="008C1681"/>
    <w:rsid w:val="00902216"/>
    <w:rsid w:val="0091449A"/>
    <w:rsid w:val="00952137"/>
    <w:rsid w:val="00955FDF"/>
    <w:rsid w:val="009C39A2"/>
    <w:rsid w:val="009E162B"/>
    <w:rsid w:val="009F0088"/>
    <w:rsid w:val="00A01A5E"/>
    <w:rsid w:val="00A50E00"/>
    <w:rsid w:val="00A90521"/>
    <w:rsid w:val="00A93FE2"/>
    <w:rsid w:val="00AD5A85"/>
    <w:rsid w:val="00B26968"/>
    <w:rsid w:val="00B5019E"/>
    <w:rsid w:val="00B63E16"/>
    <w:rsid w:val="00C22043"/>
    <w:rsid w:val="00C33100"/>
    <w:rsid w:val="00C700EA"/>
    <w:rsid w:val="00C857FA"/>
    <w:rsid w:val="00CA3AB5"/>
    <w:rsid w:val="00CC5479"/>
    <w:rsid w:val="00CD3BBD"/>
    <w:rsid w:val="00DA7ABB"/>
    <w:rsid w:val="00DE11D1"/>
    <w:rsid w:val="00E115CD"/>
    <w:rsid w:val="00E51802"/>
    <w:rsid w:val="00E53CAB"/>
    <w:rsid w:val="00E56AB3"/>
    <w:rsid w:val="00E8263B"/>
    <w:rsid w:val="00EB1FFB"/>
    <w:rsid w:val="00EF3115"/>
    <w:rsid w:val="00F86EA6"/>
    <w:rsid w:val="00F943BB"/>
    <w:rsid w:val="00FA5003"/>
    <w:rsid w:val="00FB7D21"/>
    <w:rsid w:val="00FC7D82"/>
    <w:rsid w:val="00FE0969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unhideWhenUsed/>
    <w:rsid w:val="00236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B3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8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31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3E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unhideWhenUsed/>
    <w:rsid w:val="00236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B3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8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31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3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398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4924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2649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0960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3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30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9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2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4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617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2216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0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0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1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1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1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0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7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0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42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348">
              <w:marLeft w:val="42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6794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5353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968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Oulehlová Alena</dc:creator>
  <cp:lastModifiedBy>Vičar Radim</cp:lastModifiedBy>
  <cp:revision>6</cp:revision>
  <dcterms:created xsi:type="dcterms:W3CDTF">2018-07-18T07:20:00Z</dcterms:created>
  <dcterms:modified xsi:type="dcterms:W3CDTF">2018-07-26T07:33:00Z</dcterms:modified>
</cp:coreProperties>
</file>