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088" w:rsidRPr="00396497" w:rsidRDefault="009F0088" w:rsidP="00311646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 w:rsidR="00311646" w:rsidRPr="00311646">
        <w:rPr>
          <w:rFonts w:ascii="Times New Roman" w:hAnsi="Times New Roman"/>
          <w:b/>
          <w:sz w:val="24"/>
          <w:szCs w:val="24"/>
        </w:rPr>
        <w:t>Vybrané bezpečnostní aspekty ve veřejném právu</w:t>
      </w:r>
    </w:p>
    <w:p w:rsidR="00F51136" w:rsidRDefault="001414A4" w:rsidP="00F511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</w:t>
      </w:r>
      <w:r w:rsidR="00F51136">
        <w:rPr>
          <w:rFonts w:ascii="Times New Roman" w:hAnsi="Times New Roman"/>
          <w:b/>
          <w:sz w:val="24"/>
          <w:szCs w:val="24"/>
        </w:rPr>
        <w:t xml:space="preserve"> č. 7</w:t>
      </w:r>
      <w:r>
        <w:rPr>
          <w:rFonts w:ascii="Times New Roman" w:hAnsi="Times New Roman"/>
          <w:b/>
          <w:sz w:val="24"/>
          <w:szCs w:val="24"/>
        </w:rPr>
        <w:t>:</w:t>
      </w:r>
      <w:r w:rsidR="008A434F" w:rsidRPr="0059235B">
        <w:rPr>
          <w:b/>
        </w:rPr>
        <w:t xml:space="preserve"> </w:t>
      </w:r>
      <w:r w:rsidR="00F51136" w:rsidRPr="00F51136">
        <w:rPr>
          <w:rFonts w:ascii="Times New Roman" w:hAnsi="Times New Roman"/>
          <w:b/>
          <w:sz w:val="24"/>
          <w:szCs w:val="24"/>
        </w:rPr>
        <w:t>Bezpečnost v právu Evropské unie</w:t>
      </w:r>
    </w:p>
    <w:p w:rsidR="001414A4" w:rsidRPr="00F51136" w:rsidRDefault="001414A4" w:rsidP="00990BBB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Cíl:</w:t>
      </w:r>
      <w:r w:rsidR="002B0E2D">
        <w:rPr>
          <w:rFonts w:ascii="Times New Roman" w:hAnsi="Times New Roman"/>
          <w:b/>
          <w:sz w:val="24"/>
          <w:szCs w:val="24"/>
        </w:rPr>
        <w:t xml:space="preserve"> </w:t>
      </w:r>
      <w:r w:rsidR="00311646">
        <w:rPr>
          <w:rFonts w:ascii="Times New Roman" w:hAnsi="Times New Roman"/>
          <w:sz w:val="24"/>
          <w:szCs w:val="24"/>
        </w:rPr>
        <w:t>Prohloubit</w:t>
      </w:r>
      <w:r w:rsidR="002B0E2D" w:rsidRPr="00236B33">
        <w:rPr>
          <w:rFonts w:ascii="Times New Roman" w:hAnsi="Times New Roman"/>
          <w:sz w:val="24"/>
          <w:szCs w:val="24"/>
        </w:rPr>
        <w:t xml:space="preserve"> </w:t>
      </w:r>
      <w:r w:rsidR="00311646">
        <w:rPr>
          <w:rFonts w:ascii="Times New Roman" w:hAnsi="Times New Roman"/>
          <w:sz w:val="24"/>
          <w:szCs w:val="24"/>
        </w:rPr>
        <w:t xml:space="preserve">znalosti a dovednosti </w:t>
      </w:r>
      <w:r w:rsidR="002B0E2D" w:rsidRPr="00236B33">
        <w:rPr>
          <w:rFonts w:ascii="Times New Roman" w:hAnsi="Times New Roman"/>
          <w:sz w:val="24"/>
          <w:szCs w:val="24"/>
        </w:rPr>
        <w:t>student</w:t>
      </w:r>
      <w:r w:rsidR="00311646">
        <w:rPr>
          <w:rFonts w:ascii="Times New Roman" w:hAnsi="Times New Roman"/>
          <w:sz w:val="24"/>
          <w:szCs w:val="24"/>
        </w:rPr>
        <w:t>ů</w:t>
      </w:r>
      <w:r w:rsidR="002B0E2D" w:rsidRPr="00236B33">
        <w:rPr>
          <w:rFonts w:ascii="Times New Roman" w:hAnsi="Times New Roman"/>
          <w:sz w:val="24"/>
          <w:szCs w:val="24"/>
        </w:rPr>
        <w:t xml:space="preserve"> </w:t>
      </w:r>
      <w:r w:rsidR="00311646">
        <w:rPr>
          <w:rFonts w:ascii="Times New Roman" w:hAnsi="Times New Roman"/>
          <w:sz w:val="24"/>
          <w:szCs w:val="24"/>
        </w:rPr>
        <w:t xml:space="preserve">v oblasti </w:t>
      </w:r>
      <w:r w:rsidR="00C92714">
        <w:rPr>
          <w:rFonts w:ascii="Times New Roman" w:hAnsi="Times New Roman"/>
          <w:sz w:val="24"/>
          <w:szCs w:val="24"/>
        </w:rPr>
        <w:t xml:space="preserve">právní </w:t>
      </w:r>
      <w:r w:rsidR="00311646">
        <w:rPr>
          <w:rFonts w:ascii="Times New Roman" w:hAnsi="Times New Roman"/>
          <w:sz w:val="24"/>
          <w:szCs w:val="24"/>
        </w:rPr>
        <w:t xml:space="preserve">regulace bezpečnostních a obranných témat </w:t>
      </w:r>
      <w:r w:rsidR="00F51136">
        <w:rPr>
          <w:rFonts w:ascii="Times New Roman" w:hAnsi="Times New Roman"/>
          <w:sz w:val="24"/>
          <w:szCs w:val="24"/>
        </w:rPr>
        <w:t>právu Evropské unie</w:t>
      </w:r>
      <w:r w:rsidR="002D2E62" w:rsidRPr="00236B33">
        <w:rPr>
          <w:rFonts w:ascii="Times New Roman" w:hAnsi="Times New Roman"/>
          <w:sz w:val="24"/>
          <w:szCs w:val="24"/>
        </w:rPr>
        <w:t>. Student</w:t>
      </w:r>
      <w:r w:rsidR="00EA4DA2">
        <w:rPr>
          <w:rFonts w:ascii="Times New Roman" w:hAnsi="Times New Roman"/>
          <w:sz w:val="24"/>
          <w:szCs w:val="24"/>
        </w:rPr>
        <w:t xml:space="preserve">i budou připraveni diskutovat </w:t>
      </w:r>
      <w:r w:rsidR="00F51136">
        <w:rPr>
          <w:rFonts w:ascii="Times New Roman" w:hAnsi="Times New Roman"/>
          <w:sz w:val="24"/>
          <w:szCs w:val="24"/>
        </w:rPr>
        <w:t xml:space="preserve">právní postavení EU a základní </w:t>
      </w:r>
      <w:r w:rsidR="00B46F0C">
        <w:rPr>
          <w:rFonts w:ascii="Times New Roman" w:hAnsi="Times New Roman"/>
          <w:sz w:val="24"/>
          <w:szCs w:val="24"/>
        </w:rPr>
        <w:t xml:space="preserve">právní </w:t>
      </w:r>
      <w:r w:rsidR="00F51136">
        <w:rPr>
          <w:rFonts w:ascii="Times New Roman" w:hAnsi="Times New Roman"/>
          <w:sz w:val="24"/>
          <w:szCs w:val="24"/>
        </w:rPr>
        <w:t>prameny upravující organizaci a fungování EU</w:t>
      </w:r>
      <w:r w:rsidR="00C92714">
        <w:rPr>
          <w:rFonts w:ascii="Times New Roman" w:hAnsi="Times New Roman"/>
          <w:sz w:val="24"/>
          <w:szCs w:val="24"/>
        </w:rPr>
        <w:t>. Studenti si dále prohloubí znalosti</w:t>
      </w:r>
      <w:r w:rsidR="00C92714" w:rsidRPr="00C92714">
        <w:rPr>
          <w:rFonts w:ascii="Times New Roman" w:hAnsi="Times New Roman"/>
          <w:sz w:val="24"/>
          <w:szCs w:val="24"/>
        </w:rPr>
        <w:t xml:space="preserve"> </w:t>
      </w:r>
      <w:r w:rsidR="00C92714">
        <w:rPr>
          <w:rFonts w:ascii="Times New Roman" w:hAnsi="Times New Roman"/>
          <w:sz w:val="24"/>
          <w:szCs w:val="24"/>
        </w:rPr>
        <w:t xml:space="preserve">týkající se </w:t>
      </w:r>
      <w:r w:rsidR="00F51136">
        <w:rPr>
          <w:rFonts w:ascii="Times New Roman" w:hAnsi="Times New Roman"/>
          <w:sz w:val="24"/>
          <w:szCs w:val="24"/>
        </w:rPr>
        <w:t xml:space="preserve">Společné bezpečnostní a obranné politiky EU, </w:t>
      </w:r>
      <w:r w:rsidR="00F51136" w:rsidRPr="00F51136">
        <w:rPr>
          <w:rFonts w:ascii="Times New Roman" w:hAnsi="Times New Roman"/>
          <w:sz w:val="24"/>
          <w:szCs w:val="24"/>
        </w:rPr>
        <w:t>hlavní</w:t>
      </w:r>
      <w:r w:rsidR="00F51136">
        <w:rPr>
          <w:rFonts w:ascii="Times New Roman" w:hAnsi="Times New Roman"/>
          <w:sz w:val="24"/>
          <w:szCs w:val="24"/>
        </w:rPr>
        <w:t>ch</w:t>
      </w:r>
      <w:r w:rsidR="00F51136" w:rsidRPr="00F51136">
        <w:rPr>
          <w:rFonts w:ascii="Times New Roman" w:hAnsi="Times New Roman"/>
          <w:sz w:val="24"/>
          <w:szCs w:val="24"/>
        </w:rPr>
        <w:t xml:space="preserve"> rozhodovací</w:t>
      </w:r>
      <w:r w:rsidR="00F51136">
        <w:rPr>
          <w:rFonts w:ascii="Times New Roman" w:hAnsi="Times New Roman"/>
          <w:sz w:val="24"/>
          <w:szCs w:val="24"/>
        </w:rPr>
        <w:t>ch</w:t>
      </w:r>
      <w:r w:rsidR="00F51136" w:rsidRPr="00F51136">
        <w:rPr>
          <w:rFonts w:ascii="Times New Roman" w:hAnsi="Times New Roman"/>
          <w:sz w:val="24"/>
          <w:szCs w:val="24"/>
        </w:rPr>
        <w:t xml:space="preserve"> orgán</w:t>
      </w:r>
      <w:r w:rsidR="00F51136">
        <w:rPr>
          <w:rFonts w:ascii="Times New Roman" w:hAnsi="Times New Roman"/>
          <w:sz w:val="24"/>
          <w:szCs w:val="24"/>
        </w:rPr>
        <w:t>ů</w:t>
      </w:r>
      <w:r w:rsidR="00F51136" w:rsidRPr="00F51136">
        <w:rPr>
          <w:rFonts w:ascii="Times New Roman" w:hAnsi="Times New Roman"/>
          <w:sz w:val="24"/>
          <w:szCs w:val="24"/>
        </w:rPr>
        <w:t xml:space="preserve"> zabývající se Společnou zahraniční a bezpečnostní politikou</w:t>
      </w:r>
      <w:r w:rsidR="00F51136">
        <w:rPr>
          <w:rFonts w:ascii="Times New Roman" w:hAnsi="Times New Roman"/>
          <w:sz w:val="24"/>
          <w:szCs w:val="24"/>
        </w:rPr>
        <w:t>, včetně</w:t>
      </w:r>
      <w:r w:rsidR="00F51136" w:rsidRPr="00F51136">
        <w:rPr>
          <w:rFonts w:ascii="Times New Roman" w:hAnsi="Times New Roman"/>
          <w:sz w:val="24"/>
          <w:szCs w:val="24"/>
        </w:rPr>
        <w:t xml:space="preserve"> Evropsk</w:t>
      </w:r>
      <w:r w:rsidR="00F51136">
        <w:rPr>
          <w:rFonts w:ascii="Times New Roman" w:hAnsi="Times New Roman"/>
          <w:sz w:val="24"/>
          <w:szCs w:val="24"/>
        </w:rPr>
        <w:t>é</w:t>
      </w:r>
      <w:r w:rsidR="00F51136" w:rsidRPr="00F51136">
        <w:rPr>
          <w:rFonts w:ascii="Times New Roman" w:hAnsi="Times New Roman"/>
          <w:sz w:val="24"/>
          <w:szCs w:val="24"/>
        </w:rPr>
        <w:t xml:space="preserve"> obrann</w:t>
      </w:r>
      <w:r w:rsidR="00F51136">
        <w:rPr>
          <w:rFonts w:ascii="Times New Roman" w:hAnsi="Times New Roman"/>
          <w:sz w:val="24"/>
          <w:szCs w:val="24"/>
        </w:rPr>
        <w:t>é</w:t>
      </w:r>
      <w:r w:rsidR="00F51136" w:rsidRPr="00F51136">
        <w:rPr>
          <w:rFonts w:ascii="Times New Roman" w:hAnsi="Times New Roman"/>
          <w:sz w:val="24"/>
          <w:szCs w:val="24"/>
        </w:rPr>
        <w:t xml:space="preserve"> agentur</w:t>
      </w:r>
      <w:r w:rsidR="00F51136" w:rsidRPr="00F51136">
        <w:rPr>
          <w:rFonts w:ascii="Times New Roman" w:hAnsi="Times New Roman"/>
          <w:sz w:val="24"/>
          <w:szCs w:val="24"/>
        </w:rPr>
        <w:t>y</w:t>
      </w:r>
      <w:r w:rsidR="00F51136">
        <w:rPr>
          <w:rFonts w:ascii="Times New Roman" w:hAnsi="Times New Roman"/>
          <w:sz w:val="24"/>
          <w:szCs w:val="24"/>
        </w:rPr>
        <w:t xml:space="preserve">, a </w:t>
      </w:r>
      <w:r w:rsidR="00B46F0C">
        <w:rPr>
          <w:rFonts w:ascii="Times New Roman" w:hAnsi="Times New Roman"/>
          <w:sz w:val="24"/>
          <w:szCs w:val="24"/>
        </w:rPr>
        <w:t>t</w:t>
      </w:r>
      <w:r w:rsidR="00F51136" w:rsidRPr="00F51136">
        <w:rPr>
          <w:rFonts w:ascii="Times New Roman" w:hAnsi="Times New Roman"/>
          <w:sz w:val="24"/>
          <w:szCs w:val="24"/>
        </w:rPr>
        <w:t xml:space="preserve">ypy úkolů, které lze provádět v rámci </w:t>
      </w:r>
      <w:r w:rsidR="00B46F0C">
        <w:rPr>
          <w:rFonts w:ascii="Times New Roman" w:hAnsi="Times New Roman"/>
          <w:sz w:val="24"/>
          <w:szCs w:val="24"/>
        </w:rPr>
        <w:t>této politiky</w:t>
      </w:r>
      <w:r w:rsidR="00C92714" w:rsidRPr="00F51136">
        <w:rPr>
          <w:rFonts w:ascii="Times New Roman" w:hAnsi="Times New Roman"/>
          <w:sz w:val="24"/>
          <w:szCs w:val="24"/>
        </w:rPr>
        <w:t>.</w:t>
      </w:r>
    </w:p>
    <w:p w:rsidR="00E8263B" w:rsidRDefault="00AD5A85" w:rsidP="00E8263B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4145C2" w:rsidRDefault="004145C2" w:rsidP="00CC5479">
      <w:pPr>
        <w:jc w:val="both"/>
        <w:rPr>
          <w:rFonts w:ascii="Times New Roman" w:eastAsia="Times New Roman" w:hAnsi="Times New Roman"/>
          <w:iCs/>
          <w:sz w:val="24"/>
          <w:lang w:eastAsia="cs-CZ"/>
        </w:rPr>
      </w:pPr>
      <w:r>
        <w:rPr>
          <w:rFonts w:ascii="Times New Roman" w:eastAsia="Times New Roman" w:hAnsi="Times New Roman"/>
          <w:iCs/>
          <w:sz w:val="24"/>
          <w:lang w:eastAsia="cs-CZ"/>
        </w:rPr>
        <w:t>Zabývejte se historickým vývojem Evropských společenství a posléze EU</w:t>
      </w:r>
    </w:p>
    <w:p w:rsidR="004145C2" w:rsidRDefault="004145C2" w:rsidP="00CC5479">
      <w:pPr>
        <w:jc w:val="both"/>
        <w:rPr>
          <w:rFonts w:ascii="Times New Roman" w:eastAsia="Times New Roman" w:hAnsi="Times New Roman"/>
          <w:iCs/>
          <w:sz w:val="24"/>
          <w:lang w:eastAsia="cs-CZ"/>
        </w:rPr>
      </w:pPr>
      <w:r>
        <w:rPr>
          <w:rFonts w:ascii="Times New Roman" w:eastAsia="Times New Roman" w:hAnsi="Times New Roman"/>
          <w:iCs/>
          <w:sz w:val="24"/>
          <w:lang w:eastAsia="cs-CZ"/>
        </w:rPr>
        <w:t>Vyhledejte historické milníky ve formování bezpečnostních a obranných funkcí EU.</w:t>
      </w:r>
    </w:p>
    <w:p w:rsidR="00F943BB" w:rsidRDefault="004145C2" w:rsidP="00CC5479">
      <w:pPr>
        <w:jc w:val="both"/>
        <w:rPr>
          <w:rFonts w:ascii="Times New Roman" w:eastAsia="Times New Roman" w:hAnsi="Times New Roman"/>
          <w:iCs/>
          <w:sz w:val="24"/>
          <w:lang w:eastAsia="cs-CZ"/>
        </w:rPr>
      </w:pPr>
      <w:r>
        <w:rPr>
          <w:rFonts w:ascii="Times New Roman" w:eastAsia="Times New Roman" w:hAnsi="Times New Roman"/>
          <w:iCs/>
          <w:sz w:val="24"/>
          <w:lang w:eastAsia="cs-CZ"/>
        </w:rPr>
        <w:t>Charakterizujte právní postavení E</w:t>
      </w:r>
      <w:r w:rsidR="00A60D5F">
        <w:rPr>
          <w:rFonts w:ascii="Times New Roman" w:eastAsia="Times New Roman" w:hAnsi="Times New Roman"/>
          <w:iCs/>
          <w:sz w:val="24"/>
          <w:lang w:eastAsia="cs-CZ"/>
        </w:rPr>
        <w:t>U. Vyhledejte k tomu další informace.</w:t>
      </w:r>
    </w:p>
    <w:p w:rsidR="00A60D5F" w:rsidRDefault="00A60D5F" w:rsidP="00CC5479">
      <w:pPr>
        <w:jc w:val="both"/>
        <w:rPr>
          <w:rFonts w:ascii="Times New Roman" w:eastAsia="Times New Roman" w:hAnsi="Times New Roman"/>
          <w:iCs/>
          <w:sz w:val="24"/>
          <w:lang w:eastAsia="cs-CZ"/>
        </w:rPr>
      </w:pPr>
      <w:r>
        <w:rPr>
          <w:rFonts w:ascii="Times New Roman" w:eastAsia="Times New Roman" w:hAnsi="Times New Roman"/>
          <w:iCs/>
          <w:sz w:val="24"/>
          <w:lang w:eastAsia="cs-CZ"/>
        </w:rPr>
        <w:t>Definujte právo EU jako právní odvětví a předmět jeho regulace.</w:t>
      </w:r>
    </w:p>
    <w:p w:rsidR="00A60D5F" w:rsidRDefault="00A60D5F" w:rsidP="00CC5479">
      <w:pPr>
        <w:jc w:val="both"/>
        <w:rPr>
          <w:rFonts w:ascii="Times New Roman" w:eastAsia="Times New Roman" w:hAnsi="Times New Roman"/>
          <w:iCs/>
          <w:sz w:val="24"/>
          <w:lang w:eastAsia="cs-CZ"/>
        </w:rPr>
      </w:pPr>
      <w:r>
        <w:rPr>
          <w:rFonts w:ascii="Times New Roman" w:eastAsia="Times New Roman" w:hAnsi="Times New Roman"/>
          <w:iCs/>
          <w:sz w:val="24"/>
          <w:lang w:eastAsia="cs-CZ"/>
        </w:rPr>
        <w:t>Jaké změny přineslo přijetí reformní Lisabonské smlouvy v roce 2009?</w:t>
      </w:r>
    </w:p>
    <w:p w:rsidR="00A60D5F" w:rsidRPr="00CC5479" w:rsidRDefault="00A60D5F" w:rsidP="00CC5479">
      <w:pPr>
        <w:jc w:val="both"/>
        <w:rPr>
          <w:rFonts w:ascii="Times New Roman" w:eastAsia="Times New Roman" w:hAnsi="Times New Roman"/>
          <w:iCs/>
          <w:sz w:val="24"/>
          <w:lang w:eastAsia="cs-CZ"/>
        </w:rPr>
      </w:pPr>
      <w:r>
        <w:rPr>
          <w:rFonts w:ascii="Times New Roman" w:eastAsia="Times New Roman" w:hAnsi="Times New Roman"/>
          <w:iCs/>
          <w:sz w:val="24"/>
          <w:lang w:eastAsia="cs-CZ"/>
        </w:rPr>
        <w:t xml:space="preserve">Charakterizujte </w:t>
      </w:r>
      <w:r w:rsidRPr="00A60D5F">
        <w:rPr>
          <w:rFonts w:ascii="Times New Roman" w:eastAsia="Times New Roman" w:hAnsi="Times New Roman"/>
          <w:iCs/>
          <w:sz w:val="24"/>
          <w:lang w:eastAsia="cs-CZ"/>
        </w:rPr>
        <w:t>Společnou zahraniční a bezpečnostní politik</w:t>
      </w:r>
      <w:r>
        <w:rPr>
          <w:rFonts w:ascii="Times New Roman" w:eastAsia="Times New Roman" w:hAnsi="Times New Roman"/>
          <w:iCs/>
          <w:sz w:val="24"/>
          <w:lang w:eastAsia="cs-CZ"/>
        </w:rPr>
        <w:t>u EU a vymezte nástroje pro její provádění.</w:t>
      </w:r>
    </w:p>
    <w:p w:rsidR="005F77ED" w:rsidRPr="00B46F0C" w:rsidRDefault="00FB7D21" w:rsidP="00CC547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46F0C">
        <w:rPr>
          <w:rFonts w:ascii="Times New Roman" w:hAnsi="Times New Roman"/>
          <w:b/>
          <w:bCs/>
          <w:sz w:val="24"/>
          <w:szCs w:val="24"/>
        </w:rPr>
        <w:t>Studijní</w:t>
      </w:r>
      <w:r w:rsidR="00955FDF" w:rsidRPr="00B46F0C">
        <w:rPr>
          <w:rFonts w:ascii="Times New Roman" w:hAnsi="Times New Roman"/>
          <w:b/>
          <w:bCs/>
          <w:sz w:val="24"/>
          <w:szCs w:val="24"/>
        </w:rPr>
        <w:t xml:space="preserve"> literatura:</w:t>
      </w:r>
      <w:r w:rsidR="00236B33" w:rsidRPr="00B46F0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46F0C" w:rsidRPr="00B46F0C" w:rsidRDefault="00B46F0C" w:rsidP="00B46F0C">
      <w:pPr>
        <w:jc w:val="both"/>
        <w:rPr>
          <w:rFonts w:ascii="Times New Roman" w:hAnsi="Times New Roman"/>
          <w:sz w:val="24"/>
          <w:szCs w:val="24"/>
        </w:rPr>
      </w:pPr>
      <w:r w:rsidRPr="00B46F0C">
        <w:rPr>
          <w:rFonts w:ascii="Times New Roman" w:hAnsi="Times New Roman"/>
          <w:i/>
          <w:iCs/>
          <w:sz w:val="24"/>
          <w:szCs w:val="24"/>
        </w:rPr>
        <w:t>Evropské právo – základní dokumenty ve znění Lisabonské smlouvy, Úplné znění, č. 1311.</w:t>
      </w:r>
      <w:r w:rsidRPr="00B46F0C">
        <w:rPr>
          <w:rFonts w:ascii="Times New Roman" w:hAnsi="Times New Roman"/>
          <w:sz w:val="24"/>
          <w:szCs w:val="24"/>
        </w:rPr>
        <w:t>Ostrava: Sagit, 2019. ISBN: 978-80-7488-344-6</w:t>
      </w:r>
      <w:r>
        <w:rPr>
          <w:rFonts w:ascii="Times New Roman" w:hAnsi="Times New Roman"/>
          <w:sz w:val="24"/>
          <w:szCs w:val="24"/>
        </w:rPr>
        <w:t>.</w:t>
      </w:r>
    </w:p>
    <w:p w:rsidR="00B46F0C" w:rsidRPr="00B46F0C" w:rsidRDefault="00B46F0C" w:rsidP="00B46F0C">
      <w:pPr>
        <w:jc w:val="both"/>
        <w:rPr>
          <w:rFonts w:ascii="Times New Roman" w:hAnsi="Times New Roman"/>
          <w:sz w:val="24"/>
          <w:szCs w:val="24"/>
        </w:rPr>
      </w:pPr>
      <w:r w:rsidRPr="00B46F0C">
        <w:rPr>
          <w:rFonts w:ascii="Times New Roman" w:hAnsi="Times New Roman"/>
          <w:i/>
          <w:iCs/>
          <w:sz w:val="24"/>
          <w:szCs w:val="24"/>
        </w:rPr>
        <w:t xml:space="preserve">Konsolidované znění Smlouvy o Evropské unii (SEU), Smlouvy o fungování Evropskéunie (SFEU), dodatkových protokolů a prohlášení a Listina základních práv Evropské unie. </w:t>
      </w:r>
      <w:r w:rsidRPr="00B46F0C">
        <w:rPr>
          <w:rFonts w:ascii="Times New Roman" w:hAnsi="Times New Roman"/>
          <w:sz w:val="24"/>
          <w:szCs w:val="24"/>
        </w:rPr>
        <w:t xml:space="preserve">Úřední věstník Evropské unie, částka C 326 ze dne 26. 10. 2012, svazek 55. </w:t>
      </w:r>
    </w:p>
    <w:p w:rsidR="00B46F0C" w:rsidRPr="00B46F0C" w:rsidRDefault="00B46F0C" w:rsidP="00B46F0C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B46F0C">
        <w:rPr>
          <w:rFonts w:ascii="Times New Roman" w:hAnsi="Times New Roman"/>
          <w:sz w:val="24"/>
          <w:szCs w:val="24"/>
        </w:rPr>
        <w:t>SEHNÁLEK, David. Specifika výkladu práva Evropské unie a jeho vnitrostátní důsledky. V Praze: C.H. Beck, 2019. Beckova edice právní instituty. ISBN 978-80-7400-741-5.</w:t>
      </w:r>
    </w:p>
    <w:p w:rsidR="00B46F0C" w:rsidRPr="00B46F0C" w:rsidRDefault="00B46F0C" w:rsidP="00B46F0C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B46F0C">
        <w:rPr>
          <w:rFonts w:ascii="Times New Roman" w:hAnsi="Times New Roman"/>
          <w:sz w:val="24"/>
          <w:szCs w:val="24"/>
        </w:rPr>
        <w:t>SVOBODA, Pavel. Úvod do evropského práva. 6. vydání. V Praze: C.H. Beck, 2019. ISBN 978-80-7400-752-1.</w:t>
      </w:r>
    </w:p>
    <w:p w:rsidR="00B46F0C" w:rsidRPr="00B46F0C" w:rsidRDefault="00B46F0C" w:rsidP="00B46F0C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B46F0C">
        <w:rPr>
          <w:rFonts w:ascii="Times New Roman" w:hAnsi="Times New Roman"/>
          <w:sz w:val="24"/>
          <w:szCs w:val="24"/>
        </w:rPr>
        <w:t>ŠLOSARČÍK, Ivo. Právní a politický rámec Evropské unie. 5. vydání. Praha: Wolters Kluwer, 2020. ISBN 978-80-7598-624-5.</w:t>
      </w:r>
    </w:p>
    <w:p w:rsidR="00B46F0C" w:rsidRPr="00B46F0C" w:rsidRDefault="00B46F0C" w:rsidP="00B46F0C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B46F0C">
        <w:rPr>
          <w:rFonts w:ascii="Times New Roman" w:hAnsi="Times New Roman"/>
          <w:sz w:val="24"/>
          <w:szCs w:val="24"/>
        </w:rPr>
        <w:t>ŠMEJKAL, Václav, Olga FRANCOVÁ, Michael KOHAJDA, et al. Evropská unie po brexitu: právně-institucionální budoucnost evropské integrace. Praha: Wolters Kluwer, 2018. Právní monografie (Wolters Kluwer ČR). ISBN 978-80-7598-098-4.</w:t>
      </w:r>
    </w:p>
    <w:p w:rsidR="00B46F0C" w:rsidRPr="00B46F0C" w:rsidRDefault="00B46F0C" w:rsidP="00B46F0C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B46F0C">
        <w:rPr>
          <w:rFonts w:ascii="Times New Roman" w:hAnsi="Times New Roman"/>
          <w:sz w:val="24"/>
          <w:szCs w:val="24"/>
        </w:rPr>
        <w:t>TOMÁŠEK, Michal, Vladimír TÝČ, Jiří MALENOVSKÝ, et al. Právo Evropské unie. 2. aktualizované vydání. Praha: Leges, 2017. Student (Leges). ISBN 978-80-7502-184-7.</w:t>
      </w:r>
    </w:p>
    <w:p w:rsidR="00BA5764" w:rsidRDefault="00B46F0C" w:rsidP="00B46F0C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B46F0C">
        <w:rPr>
          <w:rFonts w:ascii="Times New Roman" w:hAnsi="Times New Roman"/>
          <w:sz w:val="24"/>
          <w:szCs w:val="24"/>
        </w:rPr>
        <w:t>TÝČ, Vladimír. Základy práva Evropské unie pro ekonomy. 7. přepracované a aktualizované vydání. Praha: Leges, 2017. Student (Leges). ISBN 978-80-7502-243-1.</w:t>
      </w:r>
    </w:p>
    <w:p w:rsidR="00B46F0C" w:rsidRDefault="00B46F0C" w:rsidP="00B46F0C">
      <w:pPr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Obsah:</w:t>
      </w:r>
      <w:r w:rsidRPr="005F77ED">
        <w:t xml:space="preserve"> </w:t>
      </w:r>
    </w:p>
    <w:p w:rsidR="00B46F0C" w:rsidRPr="00B46F0C" w:rsidRDefault="00B46F0C" w:rsidP="00B46F0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46F0C">
        <w:rPr>
          <w:rFonts w:ascii="Times New Roman" w:hAnsi="Times New Roman"/>
          <w:sz w:val="24"/>
          <w:szCs w:val="24"/>
        </w:rPr>
        <w:t>Úvod</w:t>
      </w:r>
    </w:p>
    <w:p w:rsidR="00B46F0C" w:rsidRPr="00B46F0C" w:rsidRDefault="00B46F0C" w:rsidP="00B46F0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46F0C">
        <w:rPr>
          <w:rFonts w:ascii="Times New Roman" w:hAnsi="Times New Roman"/>
          <w:sz w:val="24"/>
          <w:szCs w:val="24"/>
        </w:rPr>
        <w:t xml:space="preserve">1. Evropská unie a právo Evropské unie  </w:t>
      </w:r>
    </w:p>
    <w:p w:rsidR="00B46F0C" w:rsidRPr="00B46F0C" w:rsidRDefault="00B46F0C" w:rsidP="00B46F0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46F0C">
        <w:rPr>
          <w:rFonts w:ascii="Times New Roman" w:hAnsi="Times New Roman"/>
          <w:sz w:val="24"/>
          <w:szCs w:val="24"/>
        </w:rPr>
        <w:t>2. Právo evropské unie a obecné otázky</w:t>
      </w:r>
    </w:p>
    <w:p w:rsidR="00B46F0C" w:rsidRPr="00B46F0C" w:rsidRDefault="00B46F0C" w:rsidP="00B46F0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46F0C">
        <w:rPr>
          <w:rFonts w:ascii="Times New Roman" w:hAnsi="Times New Roman"/>
          <w:sz w:val="24"/>
          <w:szCs w:val="24"/>
        </w:rPr>
        <w:t>3. Bezpečnostní aspekty v právu Evropské unie</w:t>
      </w:r>
    </w:p>
    <w:p w:rsidR="00B46F0C" w:rsidRPr="00B46F0C" w:rsidRDefault="00B46F0C" w:rsidP="00B46F0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46F0C">
        <w:rPr>
          <w:rFonts w:ascii="Times New Roman" w:hAnsi="Times New Roman"/>
          <w:sz w:val="24"/>
          <w:szCs w:val="24"/>
        </w:rPr>
        <w:t xml:space="preserve">4. Společná bezpečnostní a obranná politika   </w:t>
      </w:r>
    </w:p>
    <w:p w:rsidR="00B46F0C" w:rsidRDefault="00B46F0C" w:rsidP="00B46F0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46F0C">
        <w:rPr>
          <w:rFonts w:ascii="Times New Roman" w:hAnsi="Times New Roman"/>
          <w:sz w:val="24"/>
          <w:szCs w:val="24"/>
        </w:rPr>
        <w:t>Závěr</w:t>
      </w:r>
    </w:p>
    <w:p w:rsidR="00B46F0C" w:rsidRDefault="00B46F0C" w:rsidP="00B46F0C">
      <w:pPr>
        <w:jc w:val="both"/>
        <w:rPr>
          <w:rFonts w:ascii="Times New Roman" w:hAnsi="Times New Roman"/>
          <w:sz w:val="24"/>
          <w:szCs w:val="24"/>
        </w:rPr>
      </w:pPr>
    </w:p>
    <w:p w:rsidR="00A60D5F" w:rsidRDefault="00A60D5F" w:rsidP="00B46F0C">
      <w:pPr>
        <w:jc w:val="both"/>
        <w:rPr>
          <w:rFonts w:ascii="Times New Roman" w:hAnsi="Times New Roman"/>
          <w:sz w:val="24"/>
          <w:szCs w:val="24"/>
        </w:rPr>
      </w:pPr>
    </w:p>
    <w:p w:rsidR="00B46F0C" w:rsidRPr="005C68A0" w:rsidRDefault="00B46F0C" w:rsidP="00B46F0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C68A0">
        <w:rPr>
          <w:rFonts w:ascii="Times New Roman" w:hAnsi="Times New Roman"/>
          <w:b/>
          <w:bCs/>
          <w:sz w:val="24"/>
          <w:szCs w:val="24"/>
        </w:rPr>
        <w:t>Úvod</w:t>
      </w:r>
    </w:p>
    <w:p w:rsidR="00B46F0C" w:rsidRPr="00B46F0C" w:rsidRDefault="00B46F0C" w:rsidP="00B46F0C">
      <w:pPr>
        <w:jc w:val="both"/>
        <w:rPr>
          <w:rFonts w:ascii="Times New Roman" w:hAnsi="Times New Roman"/>
          <w:sz w:val="24"/>
          <w:szCs w:val="24"/>
        </w:rPr>
      </w:pPr>
      <w:r w:rsidRPr="00B46F0C">
        <w:rPr>
          <w:rFonts w:ascii="Times New Roman" w:hAnsi="Times New Roman"/>
          <w:i/>
          <w:iCs/>
          <w:sz w:val="24"/>
          <w:szCs w:val="24"/>
        </w:rPr>
        <w:t xml:space="preserve">Evropská unie </w:t>
      </w:r>
      <w:r w:rsidR="005C68A0">
        <w:rPr>
          <w:rFonts w:ascii="Times New Roman" w:hAnsi="Times New Roman"/>
          <w:i/>
          <w:iCs/>
          <w:sz w:val="24"/>
          <w:szCs w:val="24"/>
        </w:rPr>
        <w:t xml:space="preserve">(dále též „EU“) </w:t>
      </w:r>
      <w:r w:rsidRPr="00B46F0C">
        <w:rPr>
          <w:rFonts w:ascii="Times New Roman" w:hAnsi="Times New Roman"/>
          <w:i/>
          <w:iCs/>
          <w:sz w:val="24"/>
          <w:szCs w:val="24"/>
        </w:rPr>
        <w:t>vznikla v roce 1993 na základě Smlouvy o Evropské unii a v současné době má 27 členských států (po odchodu Velké Británie z EU dne 29. března 2019). Smyslem svazku je posílit společné zájmy evropských států a směřovat k integraci ve všech oblastech života.</w:t>
      </w:r>
    </w:p>
    <w:p w:rsidR="00B46F0C" w:rsidRPr="00B46F0C" w:rsidRDefault="00B46F0C" w:rsidP="00B46F0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C68A0">
        <w:rPr>
          <w:rFonts w:ascii="Times New Roman" w:hAnsi="Times New Roman"/>
          <w:b/>
          <w:bCs/>
          <w:sz w:val="24"/>
          <w:szCs w:val="24"/>
        </w:rPr>
        <w:t>1. Evropská unie a právo Evropské unie</w:t>
      </w:r>
    </w:p>
    <w:p w:rsidR="00B46F0C" w:rsidRPr="00B46F0C" w:rsidRDefault="00B46F0C" w:rsidP="00B46F0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46F0C">
        <w:rPr>
          <w:rFonts w:ascii="Times New Roman" w:hAnsi="Times New Roman"/>
          <w:b/>
          <w:bCs/>
          <w:sz w:val="24"/>
          <w:szCs w:val="24"/>
        </w:rPr>
        <w:t>Evropská unie (EU)</w:t>
      </w:r>
    </w:p>
    <w:p w:rsidR="00B46F0C" w:rsidRPr="005C68A0" w:rsidRDefault="00B46F0C" w:rsidP="00B46F0C">
      <w:pPr>
        <w:jc w:val="both"/>
        <w:rPr>
          <w:rFonts w:ascii="Times New Roman" w:hAnsi="Times New Roman"/>
          <w:sz w:val="24"/>
          <w:szCs w:val="24"/>
        </w:rPr>
      </w:pPr>
      <w:r w:rsidRPr="00B46F0C">
        <w:rPr>
          <w:rFonts w:ascii="Times New Roman" w:hAnsi="Times New Roman"/>
          <w:sz w:val="24"/>
          <w:szCs w:val="24"/>
        </w:rPr>
        <w:t xml:space="preserve">Jejími předchůdci jsou Evropská společenství (Evropské společenství uhlí a oceli, Evropské hospodářské společenství a Evropské společenství atomové energie), která byla svazky hospodářsky, sociálně, politicky a konečně též právně propojující evropské státy. Potřeba politické a správně-soudní spolupráce úzce hospodářsky integrovaných členských států Evropských společenství vedla v roce 1993 k ustavení EU (Maastrichtská smlouva z roku 1992). EU zahrnula další agendu: společnou zahraniční a bezpečnostní politiku a spolupráci justiční a vnitřní, posléze omezenou Amsterdamskou smlouvou na oblast trestního práva. </w:t>
      </w:r>
      <w:r w:rsidRPr="00B46F0C">
        <w:rPr>
          <w:rFonts w:ascii="Times New Roman" w:hAnsi="Times New Roman"/>
          <w:sz w:val="24"/>
          <w:szCs w:val="24"/>
          <w:lang w:val="pt-BR"/>
        </w:rPr>
        <w:t xml:space="preserve">Česká republika </w:t>
      </w:r>
      <w:r w:rsidRPr="00B46F0C">
        <w:rPr>
          <w:rFonts w:ascii="Times New Roman" w:hAnsi="Times New Roman"/>
          <w:sz w:val="24"/>
          <w:szCs w:val="24"/>
        </w:rPr>
        <w:t>(</w:t>
      </w:r>
      <w:r w:rsidRPr="00B46F0C">
        <w:rPr>
          <w:rFonts w:ascii="Times New Roman" w:hAnsi="Times New Roman"/>
          <w:sz w:val="24"/>
          <w:szCs w:val="24"/>
          <w:lang w:val="pt-BR"/>
        </w:rPr>
        <w:t>ČR</w:t>
      </w:r>
      <w:r w:rsidRPr="00B46F0C">
        <w:rPr>
          <w:rFonts w:ascii="Times New Roman" w:hAnsi="Times New Roman"/>
          <w:sz w:val="24"/>
          <w:szCs w:val="24"/>
        </w:rPr>
        <w:t>)</w:t>
      </w:r>
      <w:r w:rsidRPr="00B46F0C">
        <w:rPr>
          <w:rFonts w:ascii="Times New Roman" w:hAnsi="Times New Roman"/>
          <w:sz w:val="24"/>
          <w:szCs w:val="24"/>
          <w:lang w:val="pt-BR"/>
        </w:rPr>
        <w:t xml:space="preserve"> vstoupila do EU</w:t>
      </w:r>
      <w:r w:rsidRPr="00B46F0C">
        <w:rPr>
          <w:rFonts w:ascii="Times New Roman" w:hAnsi="Times New Roman"/>
          <w:sz w:val="24"/>
          <w:szCs w:val="24"/>
        </w:rPr>
        <w:t xml:space="preserve"> </w:t>
      </w:r>
      <w:r w:rsidRPr="00B46F0C">
        <w:rPr>
          <w:rFonts w:ascii="Times New Roman" w:hAnsi="Times New Roman"/>
          <w:sz w:val="24"/>
          <w:szCs w:val="24"/>
          <w:lang w:val="pt-BR"/>
        </w:rPr>
        <w:t>v roce 2004.Toto propojení převyšuje integraci států v jiných mezinárodních organizacích. EU ale není federativním státem.</w:t>
      </w:r>
    </w:p>
    <w:p w:rsidR="00B46F0C" w:rsidRPr="00B46F0C" w:rsidRDefault="00B46F0C" w:rsidP="00B46F0C">
      <w:pPr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B46F0C">
        <w:rPr>
          <w:rFonts w:ascii="Times New Roman" w:hAnsi="Times New Roman"/>
          <w:b/>
          <w:bCs/>
          <w:sz w:val="24"/>
          <w:szCs w:val="24"/>
          <w:lang w:val="pt-BR"/>
        </w:rPr>
        <w:t>Právo Evropské unie</w:t>
      </w:r>
    </w:p>
    <w:p w:rsidR="00B46F0C" w:rsidRDefault="005C68A0" w:rsidP="00B46F0C">
      <w:p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Právo EU je v systému českého práva samostatným </w:t>
      </w:r>
      <w:r w:rsidR="00B46F0C" w:rsidRPr="00B46F0C">
        <w:rPr>
          <w:rFonts w:ascii="Times New Roman" w:hAnsi="Times New Roman"/>
          <w:sz w:val="24"/>
          <w:szCs w:val="24"/>
          <w:lang w:val="pt-BR"/>
        </w:rPr>
        <w:t>právní</w:t>
      </w:r>
      <w:r>
        <w:rPr>
          <w:rFonts w:ascii="Times New Roman" w:hAnsi="Times New Roman"/>
          <w:sz w:val="24"/>
          <w:szCs w:val="24"/>
          <w:lang w:val="pt-BR"/>
        </w:rPr>
        <w:t>m</w:t>
      </w:r>
      <w:r w:rsidR="00B46F0C" w:rsidRPr="00B46F0C">
        <w:rPr>
          <w:rFonts w:ascii="Times New Roman" w:hAnsi="Times New Roman"/>
          <w:sz w:val="24"/>
          <w:szCs w:val="24"/>
          <w:lang w:val="pt-BR"/>
        </w:rPr>
        <w:t xml:space="preserve"> odvětví</w:t>
      </w:r>
      <w:r>
        <w:rPr>
          <w:rFonts w:ascii="Times New Roman" w:hAnsi="Times New Roman"/>
          <w:sz w:val="24"/>
          <w:szCs w:val="24"/>
          <w:lang w:val="pt-BR"/>
        </w:rPr>
        <w:t>m.</w:t>
      </w:r>
      <w:r w:rsidR="00B46F0C" w:rsidRPr="00B46F0C">
        <w:rPr>
          <w:rFonts w:ascii="Times New Roman" w:hAnsi="Times New Roman"/>
          <w:sz w:val="24"/>
          <w:szCs w:val="24"/>
          <w:lang w:val="pt-BR"/>
        </w:rPr>
        <w:t xml:space="preserve">  </w:t>
      </w:r>
      <w:r>
        <w:rPr>
          <w:rFonts w:ascii="Times New Roman" w:hAnsi="Times New Roman"/>
          <w:sz w:val="24"/>
          <w:szCs w:val="24"/>
          <w:lang w:val="pt-BR"/>
        </w:rPr>
        <w:t>D</w:t>
      </w:r>
      <w:r w:rsidR="00B46F0C" w:rsidRPr="00B46F0C">
        <w:rPr>
          <w:rFonts w:ascii="Times New Roman" w:hAnsi="Times New Roman"/>
          <w:sz w:val="24"/>
          <w:szCs w:val="24"/>
          <w:lang w:val="pt-BR"/>
        </w:rPr>
        <w:t xml:space="preserve">říve </w:t>
      </w:r>
      <w:r>
        <w:rPr>
          <w:rFonts w:ascii="Times New Roman" w:hAnsi="Times New Roman"/>
          <w:sz w:val="24"/>
          <w:szCs w:val="24"/>
          <w:lang w:val="pt-BR"/>
        </w:rPr>
        <w:t xml:space="preserve">bylo </w:t>
      </w:r>
      <w:r w:rsidR="00B46F0C" w:rsidRPr="00B46F0C">
        <w:rPr>
          <w:rFonts w:ascii="Times New Roman" w:hAnsi="Times New Roman"/>
          <w:sz w:val="24"/>
          <w:szCs w:val="24"/>
          <w:lang w:val="pt-BR"/>
        </w:rPr>
        <w:t xml:space="preserve">označováno jako „právo Evropských společenství“, v současnosti </w:t>
      </w:r>
      <w:r>
        <w:rPr>
          <w:rFonts w:ascii="Times New Roman" w:hAnsi="Times New Roman"/>
          <w:sz w:val="24"/>
          <w:szCs w:val="24"/>
          <w:lang w:val="pt-BR"/>
        </w:rPr>
        <w:t xml:space="preserve">se </w:t>
      </w:r>
      <w:r w:rsidR="00B46F0C" w:rsidRPr="00B46F0C">
        <w:rPr>
          <w:rFonts w:ascii="Times New Roman" w:hAnsi="Times New Roman"/>
          <w:sz w:val="24"/>
          <w:szCs w:val="24"/>
          <w:lang w:val="pt-BR"/>
        </w:rPr>
        <w:t xml:space="preserve">též </w:t>
      </w:r>
      <w:r>
        <w:rPr>
          <w:rFonts w:ascii="Times New Roman" w:hAnsi="Times New Roman"/>
          <w:sz w:val="24"/>
          <w:szCs w:val="24"/>
          <w:lang w:val="pt-BR"/>
        </w:rPr>
        <w:t xml:space="preserve">používá pojem </w:t>
      </w:r>
      <w:r w:rsidR="00B46F0C" w:rsidRPr="00B46F0C">
        <w:rPr>
          <w:rFonts w:ascii="Times New Roman" w:hAnsi="Times New Roman"/>
          <w:sz w:val="24"/>
          <w:szCs w:val="24"/>
          <w:lang w:val="pt-BR"/>
        </w:rPr>
        <w:t>„evropské právo“</w:t>
      </w:r>
      <w:r>
        <w:rPr>
          <w:rFonts w:ascii="Times New Roman" w:hAnsi="Times New Roman"/>
          <w:sz w:val="24"/>
          <w:szCs w:val="24"/>
          <w:lang w:val="pt-BR"/>
        </w:rPr>
        <w:t xml:space="preserve">. </w:t>
      </w:r>
      <w:r w:rsidR="00B46F0C" w:rsidRPr="00B46F0C">
        <w:rPr>
          <w:rFonts w:ascii="Times New Roman" w:hAnsi="Times New Roman"/>
          <w:sz w:val="24"/>
          <w:szCs w:val="24"/>
          <w:lang w:val="pt-BR"/>
        </w:rPr>
        <w:t>Právo E</w:t>
      </w:r>
      <w:r>
        <w:rPr>
          <w:rFonts w:ascii="Times New Roman" w:hAnsi="Times New Roman"/>
          <w:sz w:val="24"/>
          <w:szCs w:val="24"/>
          <w:lang w:val="pt-BR"/>
        </w:rPr>
        <w:t>U</w:t>
      </w:r>
      <w:r w:rsidR="00B46F0C" w:rsidRPr="00B46F0C">
        <w:rPr>
          <w:rFonts w:ascii="Times New Roman" w:hAnsi="Times New Roman"/>
          <w:sz w:val="24"/>
          <w:szCs w:val="24"/>
          <w:lang w:val="pt-BR"/>
        </w:rPr>
        <w:t xml:space="preserve"> se stalo právním řádem, který se přímo uplatňuje na území ČR</w:t>
      </w:r>
      <w:r w:rsidR="00994983">
        <w:rPr>
          <w:rFonts w:ascii="Times New Roman" w:hAnsi="Times New Roman"/>
          <w:sz w:val="24"/>
          <w:szCs w:val="24"/>
          <w:lang w:val="pt-BR"/>
        </w:rPr>
        <w:t xml:space="preserve">; </w:t>
      </w:r>
      <w:r w:rsidR="00B46F0C" w:rsidRPr="00B46F0C">
        <w:rPr>
          <w:rFonts w:ascii="Times New Roman" w:hAnsi="Times New Roman"/>
          <w:sz w:val="24"/>
          <w:szCs w:val="24"/>
          <w:lang w:val="pt-BR"/>
        </w:rPr>
        <w:t>má přednost před českým právem</w:t>
      </w:r>
      <w:r w:rsidR="00994983">
        <w:rPr>
          <w:rFonts w:ascii="Times New Roman" w:hAnsi="Times New Roman"/>
          <w:sz w:val="24"/>
          <w:szCs w:val="24"/>
          <w:lang w:val="pt-BR"/>
        </w:rPr>
        <w:t>. P</w:t>
      </w:r>
      <w:r w:rsidR="00B46F0C" w:rsidRPr="00B46F0C">
        <w:rPr>
          <w:rFonts w:ascii="Times New Roman" w:hAnsi="Times New Roman"/>
          <w:sz w:val="24"/>
          <w:szCs w:val="24"/>
          <w:lang w:val="pt-BR"/>
        </w:rPr>
        <w:t>orozumění právu E</w:t>
      </w:r>
      <w:r w:rsidR="00994983">
        <w:rPr>
          <w:rFonts w:ascii="Times New Roman" w:hAnsi="Times New Roman"/>
          <w:sz w:val="24"/>
          <w:szCs w:val="24"/>
          <w:lang w:val="pt-BR"/>
        </w:rPr>
        <w:t>U</w:t>
      </w:r>
      <w:r w:rsidR="00B46F0C" w:rsidRPr="00B46F0C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994983">
        <w:rPr>
          <w:rFonts w:ascii="Times New Roman" w:hAnsi="Times New Roman"/>
          <w:sz w:val="24"/>
          <w:szCs w:val="24"/>
          <w:lang w:val="pt-BR"/>
        </w:rPr>
        <w:t>je</w:t>
      </w:r>
      <w:r w:rsidR="00B46F0C" w:rsidRPr="00B46F0C">
        <w:rPr>
          <w:rFonts w:ascii="Times New Roman" w:hAnsi="Times New Roman"/>
          <w:sz w:val="24"/>
          <w:szCs w:val="24"/>
          <w:lang w:val="pt-BR"/>
        </w:rPr>
        <w:t xml:space="preserve"> součást</w:t>
      </w:r>
      <w:r w:rsidR="00994983">
        <w:rPr>
          <w:rFonts w:ascii="Times New Roman" w:hAnsi="Times New Roman"/>
          <w:sz w:val="24"/>
          <w:szCs w:val="24"/>
          <w:lang w:val="pt-BR"/>
        </w:rPr>
        <w:t>í</w:t>
      </w:r>
      <w:r w:rsidR="00B46F0C" w:rsidRPr="00B46F0C">
        <w:rPr>
          <w:rFonts w:ascii="Times New Roman" w:hAnsi="Times New Roman"/>
          <w:sz w:val="24"/>
          <w:szCs w:val="24"/>
          <w:lang w:val="pt-BR"/>
        </w:rPr>
        <w:t xml:space="preserve">  každého právnického vzdělávání</w:t>
      </w:r>
      <w:r w:rsidR="00994983">
        <w:rPr>
          <w:rFonts w:ascii="Times New Roman" w:hAnsi="Times New Roman"/>
          <w:sz w:val="24"/>
          <w:szCs w:val="24"/>
          <w:lang w:val="pt-BR"/>
        </w:rPr>
        <w:t xml:space="preserve">. Mezi základní </w:t>
      </w:r>
      <w:r w:rsidR="00B46F0C" w:rsidRPr="00B46F0C">
        <w:rPr>
          <w:rFonts w:ascii="Times New Roman" w:hAnsi="Times New Roman"/>
          <w:sz w:val="24"/>
          <w:szCs w:val="24"/>
          <w:lang w:val="pt-BR"/>
        </w:rPr>
        <w:t>prameny</w:t>
      </w:r>
      <w:r w:rsidR="00994983">
        <w:rPr>
          <w:rFonts w:ascii="Times New Roman" w:hAnsi="Times New Roman"/>
          <w:sz w:val="24"/>
          <w:szCs w:val="24"/>
          <w:lang w:val="pt-BR"/>
        </w:rPr>
        <w:t xml:space="preserve"> práva EU patří</w:t>
      </w:r>
      <w:r w:rsidR="00B46F0C" w:rsidRPr="00B46F0C">
        <w:rPr>
          <w:rFonts w:ascii="Times New Roman" w:hAnsi="Times New Roman"/>
          <w:sz w:val="24"/>
          <w:szCs w:val="24"/>
          <w:lang w:val="pt-BR"/>
        </w:rPr>
        <w:t xml:space="preserve"> primární právo (zřizovací smlouvy a reformní smlouvy– Pařížská smlouva, Římské smlouvy, Maastrichtská smlouva, Amsterodamská smlouva, Smlouva z Nice, Lisabonská smlouva atd.) a sekundární právo (nařízení, směrnice, rozhodnutí, doporučení a stanoviska)</w:t>
      </w:r>
      <w:r w:rsidR="00994983">
        <w:rPr>
          <w:rFonts w:ascii="Times New Roman" w:hAnsi="Times New Roman"/>
          <w:sz w:val="24"/>
          <w:szCs w:val="24"/>
          <w:lang w:val="pt-BR"/>
        </w:rPr>
        <w:t>.</w:t>
      </w:r>
    </w:p>
    <w:p w:rsidR="00B818EF" w:rsidRPr="00B818EF" w:rsidRDefault="00B818EF" w:rsidP="00B46F0C">
      <w:pPr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B818EF">
        <w:rPr>
          <w:rFonts w:ascii="Times New Roman" w:hAnsi="Times New Roman"/>
          <w:b/>
          <w:bCs/>
          <w:sz w:val="24"/>
          <w:szCs w:val="24"/>
        </w:rPr>
        <w:lastRenderedPageBreak/>
        <w:t>2. Právo evropské unie a obecné otázky</w:t>
      </w:r>
    </w:p>
    <w:p w:rsidR="00994983" w:rsidRPr="00994983" w:rsidRDefault="00B818EF" w:rsidP="00994983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B818EF">
        <w:rPr>
          <w:rFonts w:ascii="Times New Roman" w:hAnsi="Times New Roman"/>
          <w:sz w:val="24"/>
          <w:szCs w:val="24"/>
          <w:lang w:val="pt-BR"/>
        </w:rPr>
        <w:t>Do přijetí Lisabonské smlouvy (2009) byla Evropská unie založena na třech pilířích:</w:t>
      </w:r>
      <w:r w:rsidR="00994983" w:rsidRPr="00994983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994983">
        <w:rPr>
          <w:rFonts w:ascii="Times New Roman" w:hAnsi="Times New Roman"/>
          <w:sz w:val="24"/>
          <w:szCs w:val="24"/>
          <w:lang w:val="pt-BR"/>
        </w:rPr>
        <w:t>pilíř tvoř</w:t>
      </w:r>
      <w:r w:rsidR="00994983" w:rsidRPr="00994983">
        <w:rPr>
          <w:rFonts w:ascii="Times New Roman" w:hAnsi="Times New Roman"/>
          <w:sz w:val="24"/>
          <w:szCs w:val="24"/>
          <w:lang w:val="pt-BR"/>
        </w:rPr>
        <w:t>ila</w:t>
      </w:r>
      <w:r w:rsidRPr="00994983">
        <w:rPr>
          <w:rFonts w:ascii="Times New Roman" w:hAnsi="Times New Roman"/>
          <w:sz w:val="24"/>
          <w:szCs w:val="24"/>
          <w:lang w:val="pt-BR"/>
        </w:rPr>
        <w:t xml:space="preserve"> Evropská společenství, jako seskupení pro hospodářskou spolupráci a Evropské společenství pro atomovou energii;</w:t>
      </w:r>
      <w:r w:rsidR="00994983" w:rsidRPr="00994983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994983">
        <w:rPr>
          <w:rFonts w:ascii="Times New Roman" w:hAnsi="Times New Roman"/>
          <w:sz w:val="24"/>
          <w:szCs w:val="24"/>
          <w:lang w:val="pt-BR"/>
        </w:rPr>
        <w:t>II. pilíř tvoř</w:t>
      </w:r>
      <w:r w:rsidR="00994983" w:rsidRPr="00994983">
        <w:rPr>
          <w:rFonts w:ascii="Times New Roman" w:hAnsi="Times New Roman"/>
          <w:sz w:val="24"/>
          <w:szCs w:val="24"/>
          <w:lang w:val="pt-BR"/>
        </w:rPr>
        <w:t>ila</w:t>
      </w:r>
      <w:r w:rsidRPr="00994983">
        <w:rPr>
          <w:rFonts w:ascii="Times New Roman" w:hAnsi="Times New Roman"/>
          <w:sz w:val="24"/>
          <w:szCs w:val="24"/>
          <w:lang w:val="pt-BR"/>
        </w:rPr>
        <w:t xml:space="preserve"> Společná zahraniční a bezpečnostní politika, jejíž součástí byla Evropská bezpečnostní a obranná politika, a</w:t>
      </w:r>
      <w:r w:rsidR="00994983" w:rsidRPr="00994983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994983">
        <w:rPr>
          <w:rFonts w:ascii="Times New Roman" w:hAnsi="Times New Roman"/>
          <w:sz w:val="24"/>
          <w:szCs w:val="24"/>
          <w:lang w:val="pt-BR"/>
        </w:rPr>
        <w:t>III. pilíř tvoř</w:t>
      </w:r>
      <w:r w:rsidR="00994983" w:rsidRPr="00994983">
        <w:rPr>
          <w:rFonts w:ascii="Times New Roman" w:hAnsi="Times New Roman"/>
          <w:sz w:val="24"/>
          <w:szCs w:val="24"/>
          <w:lang w:val="pt-BR"/>
        </w:rPr>
        <w:t>ila</w:t>
      </w:r>
      <w:r w:rsidRPr="00994983">
        <w:rPr>
          <w:rFonts w:ascii="Times New Roman" w:hAnsi="Times New Roman"/>
          <w:sz w:val="24"/>
          <w:szCs w:val="24"/>
          <w:lang w:val="pt-BR"/>
        </w:rPr>
        <w:t xml:space="preserve"> policejní a soudní spolupráce v trestních věcech.</w:t>
      </w:r>
    </w:p>
    <w:p w:rsidR="00B46F0C" w:rsidRPr="00994983" w:rsidRDefault="00B818EF" w:rsidP="00994983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B818EF">
        <w:rPr>
          <w:rFonts w:ascii="Times New Roman" w:hAnsi="Times New Roman"/>
          <w:b/>
          <w:bCs/>
          <w:sz w:val="24"/>
          <w:szCs w:val="24"/>
          <w:lang w:val="pt-BR"/>
        </w:rPr>
        <w:t>Lisabonská smlouva</w:t>
      </w:r>
      <w:r w:rsidRPr="00B818EF">
        <w:rPr>
          <w:rFonts w:ascii="Times New Roman" w:hAnsi="Times New Roman"/>
          <w:sz w:val="24"/>
          <w:szCs w:val="24"/>
          <w:lang w:val="pt-BR"/>
        </w:rPr>
        <w:t xml:space="preserve"> zavedla řadu změn do fungování EU</w:t>
      </w:r>
      <w:r w:rsidR="00994983">
        <w:rPr>
          <w:rFonts w:ascii="Times New Roman" w:hAnsi="Times New Roman"/>
          <w:sz w:val="24"/>
          <w:szCs w:val="24"/>
          <w:lang w:val="pt-BR"/>
        </w:rPr>
        <w:t xml:space="preserve">. Předně </w:t>
      </w:r>
      <w:r w:rsidRPr="00B818EF">
        <w:rPr>
          <w:rFonts w:ascii="Times New Roman" w:hAnsi="Times New Roman"/>
          <w:sz w:val="24"/>
          <w:szCs w:val="24"/>
        </w:rPr>
        <w:t>formálně zavedla právní subjektivitu EU, což znamená, že EU může svým jménem uzavírat mezinárodní dohody se třetími státy</w:t>
      </w:r>
      <w:r w:rsidR="00994983">
        <w:rPr>
          <w:rFonts w:ascii="Times New Roman" w:hAnsi="Times New Roman"/>
          <w:sz w:val="24"/>
          <w:szCs w:val="24"/>
        </w:rPr>
        <w:t>.</w:t>
      </w:r>
      <w:r w:rsidR="00994983">
        <w:rPr>
          <w:rFonts w:ascii="Times New Roman" w:hAnsi="Times New Roman"/>
          <w:sz w:val="24"/>
          <w:szCs w:val="24"/>
          <w:lang w:val="pt-BR"/>
        </w:rPr>
        <w:t xml:space="preserve"> Dále </w:t>
      </w:r>
      <w:r w:rsidRPr="00B818EF">
        <w:rPr>
          <w:rFonts w:ascii="Times New Roman" w:hAnsi="Times New Roman"/>
          <w:sz w:val="24"/>
          <w:szCs w:val="24"/>
        </w:rPr>
        <w:t>došlo ke zrušení pilířové struktury, přičemž oblast společné zahraniční a bezpečnostní politiky zůstává založena na principech mezivládní spolupráce</w:t>
      </w:r>
      <w:r w:rsidR="00994983">
        <w:rPr>
          <w:rFonts w:ascii="Times New Roman" w:hAnsi="Times New Roman"/>
          <w:sz w:val="24"/>
          <w:szCs w:val="24"/>
        </w:rPr>
        <w:t xml:space="preserve">. Byla </w:t>
      </w:r>
      <w:r w:rsidRPr="00B818EF">
        <w:rPr>
          <w:rFonts w:ascii="Times New Roman" w:hAnsi="Times New Roman"/>
          <w:sz w:val="24"/>
          <w:szCs w:val="24"/>
        </w:rPr>
        <w:t>zaved</w:t>
      </w:r>
      <w:r w:rsidR="00994983">
        <w:rPr>
          <w:rFonts w:ascii="Times New Roman" w:hAnsi="Times New Roman"/>
          <w:sz w:val="24"/>
          <w:szCs w:val="24"/>
        </w:rPr>
        <w:t>ena</w:t>
      </w:r>
      <w:r w:rsidRPr="00B818EF">
        <w:rPr>
          <w:rFonts w:ascii="Times New Roman" w:hAnsi="Times New Roman"/>
          <w:sz w:val="24"/>
          <w:szCs w:val="24"/>
        </w:rPr>
        <w:t> funkce Vysokého představitele Unie pro zahraniční věci a bezpečnostní politiku (SZBP), byla založena tzv. Evropská služba pro vnější akci (European External Action Service) atd.</w:t>
      </w:r>
    </w:p>
    <w:p w:rsidR="00B818EF" w:rsidRPr="00B818EF" w:rsidRDefault="00B818EF" w:rsidP="00B818EF">
      <w:pPr>
        <w:jc w:val="both"/>
        <w:rPr>
          <w:rFonts w:ascii="Times New Roman" w:hAnsi="Times New Roman"/>
          <w:sz w:val="24"/>
          <w:szCs w:val="24"/>
        </w:rPr>
      </w:pPr>
      <w:r w:rsidRPr="00B818EF">
        <w:rPr>
          <w:rFonts w:ascii="Times New Roman" w:hAnsi="Times New Roman"/>
          <w:sz w:val="24"/>
          <w:szCs w:val="24"/>
        </w:rPr>
        <w:t>S Lisabonskou smlouvou se také Evropská bezpečnostní a obranná politika přejmenovala na tzv. </w:t>
      </w:r>
      <w:r w:rsidRPr="00B818EF">
        <w:rPr>
          <w:rFonts w:ascii="Times New Roman" w:hAnsi="Times New Roman"/>
          <w:b/>
          <w:bCs/>
          <w:sz w:val="24"/>
          <w:szCs w:val="24"/>
        </w:rPr>
        <w:t>Společnou bezpečnostní a obrannou politiku (SBOP)</w:t>
      </w:r>
      <w:r w:rsidR="00994983" w:rsidRPr="0099498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818EF">
        <w:rPr>
          <w:rFonts w:ascii="Times New Roman" w:hAnsi="Times New Roman"/>
          <w:sz w:val="24"/>
          <w:szCs w:val="24"/>
        </w:rPr>
        <w:t>SBOP zůstává nedílnou součástí Společné zahraniční a bezpečnostní politiky (Common Foreign and Security Policy – CFSP).</w:t>
      </w:r>
      <w:r w:rsidR="00994983">
        <w:rPr>
          <w:rFonts w:ascii="Times New Roman" w:hAnsi="Times New Roman"/>
          <w:sz w:val="24"/>
          <w:szCs w:val="24"/>
        </w:rPr>
        <w:t xml:space="preserve"> </w:t>
      </w:r>
      <w:r w:rsidRPr="00B818EF">
        <w:rPr>
          <w:rFonts w:ascii="Times New Roman" w:hAnsi="Times New Roman"/>
          <w:sz w:val="24"/>
          <w:szCs w:val="24"/>
        </w:rPr>
        <w:t>Strategickým rámcem pro použití nástrojů SBOP je Globální strategie pro zahraniční a bezpečnostní politiku EU z června 2016.</w:t>
      </w:r>
      <w:r w:rsidR="00994983">
        <w:rPr>
          <w:rFonts w:ascii="Times New Roman" w:hAnsi="Times New Roman"/>
          <w:sz w:val="24"/>
          <w:szCs w:val="24"/>
        </w:rPr>
        <w:t xml:space="preserve"> </w:t>
      </w:r>
      <w:r w:rsidRPr="00B818EF">
        <w:rPr>
          <w:rFonts w:ascii="Times New Roman" w:hAnsi="Times New Roman"/>
          <w:sz w:val="24"/>
          <w:szCs w:val="24"/>
        </w:rPr>
        <w:t>Pozice a zájmy, které ČR zastává a hájí v rámci SBOP, jsou definovány v Bezpečnostní strategii ČR, Koncepci zahraniční politiky ČR a Obranné strategii ČR. V listopadu 2016 (aktualizován v srpnu 2017) byl zároveň zpracován společný materiál Ministerstva obrany ČR, Ministerstva zahraničních věcí ČR a Úřadu vlády ČR s názvem „Posílení obranné a bezpečnostní dimenze EU: pozice a priority České republiky“.</w:t>
      </w:r>
    </w:p>
    <w:p w:rsidR="00B46F0C" w:rsidRDefault="00B818EF" w:rsidP="00B818EF">
      <w:pPr>
        <w:jc w:val="both"/>
        <w:rPr>
          <w:rFonts w:ascii="Times New Roman" w:hAnsi="Times New Roman"/>
          <w:sz w:val="24"/>
          <w:szCs w:val="24"/>
        </w:rPr>
      </w:pPr>
      <w:r w:rsidRPr="00B818EF">
        <w:rPr>
          <w:rFonts w:ascii="Times New Roman" w:hAnsi="Times New Roman"/>
          <w:sz w:val="24"/>
          <w:szCs w:val="24"/>
        </w:rPr>
        <w:t xml:space="preserve">zdroj: </w:t>
      </w:r>
      <w:hyperlink r:id="rId7" w:history="1">
        <w:r w:rsidRPr="007635C2">
          <w:rPr>
            <w:rStyle w:val="Hypertextovodkaz"/>
            <w:rFonts w:ascii="Times New Roman" w:hAnsi="Times New Roman"/>
            <w:sz w:val="24"/>
            <w:szCs w:val="24"/>
          </w:rPr>
          <w:t>http://www.mocr.army.cz/scripts/detail.php?pgid=563</w:t>
        </w:r>
      </w:hyperlink>
    </w:p>
    <w:p w:rsidR="00B818EF" w:rsidRDefault="00B818EF" w:rsidP="00994983">
      <w:pPr>
        <w:jc w:val="both"/>
        <w:rPr>
          <w:rFonts w:ascii="Times New Roman" w:hAnsi="Times New Roman"/>
          <w:sz w:val="24"/>
          <w:szCs w:val="24"/>
        </w:rPr>
      </w:pPr>
      <w:r w:rsidRPr="00B818EF">
        <w:rPr>
          <w:rFonts w:ascii="Times New Roman" w:hAnsi="Times New Roman"/>
          <w:b/>
          <w:bCs/>
          <w:sz w:val="24"/>
          <w:szCs w:val="24"/>
        </w:rPr>
        <w:t>Institucionální rámec Evropské unie</w:t>
      </w:r>
      <w:r w:rsidRPr="00B818EF">
        <w:rPr>
          <w:rFonts w:ascii="Times New Roman" w:hAnsi="Times New Roman"/>
          <w:sz w:val="24"/>
          <w:szCs w:val="24"/>
        </w:rPr>
        <w:t xml:space="preserve"> tvoří</w:t>
      </w:r>
      <w:r w:rsidR="00E6357A">
        <w:rPr>
          <w:rFonts w:ascii="Times New Roman" w:hAnsi="Times New Roman"/>
          <w:sz w:val="24"/>
          <w:szCs w:val="24"/>
        </w:rPr>
        <w:t xml:space="preserve"> zejména</w:t>
      </w:r>
      <w:r w:rsidRPr="00B818EF">
        <w:rPr>
          <w:rFonts w:ascii="Times New Roman" w:hAnsi="Times New Roman"/>
          <w:sz w:val="24"/>
          <w:szCs w:val="24"/>
        </w:rPr>
        <w:t xml:space="preserve"> Evropská komise, Rada EU (neboli Rada ministrů), Evropský parlament,</w:t>
      </w:r>
      <w:r w:rsidR="00994983">
        <w:rPr>
          <w:rFonts w:ascii="Times New Roman" w:hAnsi="Times New Roman"/>
          <w:sz w:val="24"/>
          <w:szCs w:val="24"/>
        </w:rPr>
        <w:t xml:space="preserve"> </w:t>
      </w:r>
      <w:r w:rsidRPr="00B818EF">
        <w:rPr>
          <w:rFonts w:ascii="Times New Roman" w:hAnsi="Times New Roman"/>
          <w:sz w:val="24"/>
          <w:szCs w:val="24"/>
        </w:rPr>
        <w:t>Evropský soudní dvůr a Evropský účetní dvůr.</w:t>
      </w:r>
    </w:p>
    <w:p w:rsidR="00B818EF" w:rsidRPr="00B818EF" w:rsidRDefault="00B818EF" w:rsidP="0099498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818EF">
        <w:rPr>
          <w:rFonts w:ascii="Times New Roman" w:hAnsi="Times New Roman"/>
          <w:b/>
          <w:bCs/>
          <w:sz w:val="24"/>
          <w:szCs w:val="24"/>
        </w:rPr>
        <w:t>3. Bezpečnostní aspekty v právu Evropské unie</w:t>
      </w:r>
    </w:p>
    <w:p w:rsidR="00B818EF" w:rsidRPr="00B818EF" w:rsidRDefault="00B818EF" w:rsidP="00994983">
      <w:pPr>
        <w:jc w:val="both"/>
        <w:rPr>
          <w:rFonts w:ascii="Times New Roman" w:hAnsi="Times New Roman"/>
          <w:sz w:val="24"/>
          <w:szCs w:val="24"/>
        </w:rPr>
      </w:pPr>
      <w:r w:rsidRPr="00B818EF">
        <w:rPr>
          <w:rFonts w:ascii="Times New Roman" w:hAnsi="Times New Roman"/>
          <w:sz w:val="24"/>
          <w:szCs w:val="24"/>
        </w:rPr>
        <w:t xml:space="preserve">Mezi hlavní rozhodovací orgány zabývající se </w:t>
      </w:r>
      <w:bookmarkStart w:id="0" w:name="_Hlk45702123"/>
      <w:r w:rsidRPr="00B818EF">
        <w:rPr>
          <w:rFonts w:ascii="Times New Roman" w:hAnsi="Times New Roman"/>
          <w:sz w:val="24"/>
          <w:szCs w:val="24"/>
        </w:rPr>
        <w:t>Společnou zahraniční a bezpečnostní politiko</w:t>
      </w:r>
      <w:bookmarkEnd w:id="0"/>
      <w:r w:rsidRPr="00B818EF">
        <w:rPr>
          <w:rFonts w:ascii="Times New Roman" w:hAnsi="Times New Roman"/>
          <w:sz w:val="24"/>
          <w:szCs w:val="24"/>
        </w:rPr>
        <w:t>u patří</w:t>
      </w:r>
      <w:r w:rsidR="00E6357A">
        <w:rPr>
          <w:rFonts w:ascii="Times New Roman" w:hAnsi="Times New Roman"/>
          <w:sz w:val="24"/>
          <w:szCs w:val="24"/>
        </w:rPr>
        <w:t xml:space="preserve"> zejména </w:t>
      </w:r>
      <w:r w:rsidRPr="00B818EF">
        <w:rPr>
          <w:rFonts w:ascii="Times New Roman" w:hAnsi="Times New Roman"/>
          <w:sz w:val="24"/>
          <w:szCs w:val="24"/>
        </w:rPr>
        <w:t>Evropská rada</w:t>
      </w:r>
      <w:r w:rsidR="00994983">
        <w:rPr>
          <w:rFonts w:ascii="Times New Roman" w:hAnsi="Times New Roman"/>
          <w:sz w:val="24"/>
          <w:szCs w:val="24"/>
        </w:rPr>
        <w:t>,</w:t>
      </w:r>
      <w:r w:rsidR="00994983" w:rsidRPr="00994983">
        <w:rPr>
          <w:rFonts w:ascii="Times New Roman" w:hAnsi="Times New Roman"/>
          <w:sz w:val="24"/>
          <w:szCs w:val="24"/>
        </w:rPr>
        <w:t xml:space="preserve"> </w:t>
      </w:r>
      <w:r w:rsidRPr="00B818EF">
        <w:rPr>
          <w:rFonts w:ascii="Times New Roman" w:hAnsi="Times New Roman"/>
          <w:sz w:val="24"/>
          <w:szCs w:val="24"/>
        </w:rPr>
        <w:t>Rada Evropské unie</w:t>
      </w:r>
      <w:r w:rsidR="00994983">
        <w:rPr>
          <w:rFonts w:ascii="Times New Roman" w:hAnsi="Times New Roman"/>
          <w:sz w:val="24"/>
          <w:szCs w:val="24"/>
        </w:rPr>
        <w:t>,</w:t>
      </w:r>
      <w:r w:rsidR="00994983" w:rsidRPr="00994983">
        <w:rPr>
          <w:rFonts w:ascii="Times New Roman" w:hAnsi="Times New Roman"/>
          <w:sz w:val="24"/>
          <w:szCs w:val="24"/>
        </w:rPr>
        <w:t xml:space="preserve"> </w:t>
      </w:r>
      <w:r w:rsidRPr="00B818EF">
        <w:rPr>
          <w:rFonts w:ascii="Times New Roman" w:hAnsi="Times New Roman"/>
          <w:sz w:val="24"/>
          <w:szCs w:val="24"/>
        </w:rPr>
        <w:t>Politický a bezpečnostní výbor</w:t>
      </w:r>
      <w:r w:rsidR="00E6357A">
        <w:rPr>
          <w:rFonts w:ascii="Times New Roman" w:hAnsi="Times New Roman"/>
          <w:sz w:val="24"/>
          <w:szCs w:val="24"/>
        </w:rPr>
        <w:t>.</w:t>
      </w:r>
    </w:p>
    <w:p w:rsidR="00B818EF" w:rsidRPr="00B818EF" w:rsidRDefault="00B818EF" w:rsidP="00E6357A">
      <w:pPr>
        <w:jc w:val="both"/>
        <w:rPr>
          <w:rFonts w:ascii="Times New Roman" w:hAnsi="Times New Roman"/>
          <w:sz w:val="24"/>
          <w:szCs w:val="24"/>
        </w:rPr>
      </w:pPr>
      <w:r w:rsidRPr="00B818EF">
        <w:rPr>
          <w:rFonts w:ascii="Times New Roman" w:hAnsi="Times New Roman"/>
          <w:sz w:val="24"/>
          <w:szCs w:val="24"/>
        </w:rPr>
        <w:t xml:space="preserve">a) Evropská rada </w:t>
      </w:r>
      <w:r w:rsidRPr="00B818EF">
        <w:rPr>
          <w:rFonts w:ascii="Times New Roman" w:hAnsi="Times New Roman"/>
          <w:i/>
          <w:iCs/>
          <w:sz w:val="24"/>
          <w:szCs w:val="24"/>
        </w:rPr>
        <w:t>(European Council, EC)</w:t>
      </w:r>
      <w:r w:rsidR="00E6357A">
        <w:rPr>
          <w:rFonts w:ascii="Times New Roman" w:hAnsi="Times New Roman"/>
          <w:sz w:val="24"/>
          <w:szCs w:val="24"/>
        </w:rPr>
        <w:t xml:space="preserve"> je </w:t>
      </w:r>
      <w:r w:rsidRPr="00B818EF">
        <w:rPr>
          <w:rFonts w:ascii="Times New Roman" w:hAnsi="Times New Roman"/>
          <w:sz w:val="24"/>
          <w:szCs w:val="24"/>
        </w:rPr>
        <w:t>nejvyšší</w:t>
      </w:r>
      <w:r w:rsidR="00E6357A">
        <w:rPr>
          <w:rFonts w:ascii="Times New Roman" w:hAnsi="Times New Roman"/>
          <w:sz w:val="24"/>
          <w:szCs w:val="24"/>
        </w:rPr>
        <w:t>m</w:t>
      </w:r>
      <w:r w:rsidRPr="00B818EF">
        <w:rPr>
          <w:rFonts w:ascii="Times New Roman" w:hAnsi="Times New Roman"/>
          <w:sz w:val="24"/>
          <w:szCs w:val="24"/>
        </w:rPr>
        <w:t xml:space="preserve"> orgán</w:t>
      </w:r>
      <w:r w:rsidR="00E6357A">
        <w:rPr>
          <w:rFonts w:ascii="Times New Roman" w:hAnsi="Times New Roman"/>
          <w:sz w:val="24"/>
          <w:szCs w:val="24"/>
        </w:rPr>
        <w:t>em</w:t>
      </w:r>
      <w:r w:rsidRPr="00B818EF">
        <w:rPr>
          <w:rFonts w:ascii="Times New Roman" w:hAnsi="Times New Roman"/>
          <w:sz w:val="24"/>
          <w:szCs w:val="24"/>
        </w:rPr>
        <w:t xml:space="preserve"> EU tvořený</w:t>
      </w:r>
      <w:r w:rsidR="00E6357A">
        <w:rPr>
          <w:rFonts w:ascii="Times New Roman" w:hAnsi="Times New Roman"/>
          <w:sz w:val="24"/>
          <w:szCs w:val="24"/>
        </w:rPr>
        <w:t>m</w:t>
      </w:r>
      <w:r w:rsidRPr="00B818EF">
        <w:rPr>
          <w:rFonts w:ascii="Times New Roman" w:hAnsi="Times New Roman"/>
          <w:sz w:val="24"/>
          <w:szCs w:val="24"/>
        </w:rPr>
        <w:t xml:space="preserve"> hlavami států a vlád členských zemí EU, předsedou Evropské rady a předsedou Evropské komise</w:t>
      </w:r>
      <w:r w:rsidR="00E6357A">
        <w:rPr>
          <w:rFonts w:ascii="Times New Roman" w:hAnsi="Times New Roman"/>
          <w:sz w:val="24"/>
          <w:szCs w:val="24"/>
        </w:rPr>
        <w:t>. V</w:t>
      </w:r>
      <w:r w:rsidRPr="00B818EF">
        <w:rPr>
          <w:rFonts w:ascii="Times New Roman" w:hAnsi="Times New Roman"/>
          <w:sz w:val="24"/>
          <w:szCs w:val="24"/>
        </w:rPr>
        <w:t xml:space="preserve"> oblasti Společné zahraniční a bezpečnostní politiky a Společné bezpečnostní a obranné politiky vymezuje zásady a obecné směry jejich dalšího rozvoje</w:t>
      </w:r>
      <w:r w:rsidR="00E6357A">
        <w:rPr>
          <w:rFonts w:ascii="Times New Roman" w:hAnsi="Times New Roman"/>
          <w:sz w:val="24"/>
          <w:szCs w:val="24"/>
        </w:rPr>
        <w:t>.</w:t>
      </w:r>
    </w:p>
    <w:p w:rsidR="00B818EF" w:rsidRPr="00B818EF" w:rsidRDefault="00B818EF" w:rsidP="00E6357A">
      <w:pPr>
        <w:jc w:val="both"/>
        <w:rPr>
          <w:rFonts w:ascii="Times New Roman" w:hAnsi="Times New Roman"/>
          <w:sz w:val="24"/>
          <w:szCs w:val="24"/>
        </w:rPr>
      </w:pPr>
      <w:r w:rsidRPr="00B818EF">
        <w:rPr>
          <w:rFonts w:ascii="Times New Roman" w:hAnsi="Times New Roman"/>
          <w:sz w:val="24"/>
          <w:szCs w:val="24"/>
        </w:rPr>
        <w:t xml:space="preserve">b) Rada Evropské unie, též Rada ministrů </w:t>
      </w:r>
      <w:r w:rsidRPr="00B818EF">
        <w:rPr>
          <w:rFonts w:ascii="Times New Roman" w:hAnsi="Times New Roman"/>
          <w:i/>
          <w:iCs/>
          <w:sz w:val="24"/>
          <w:szCs w:val="24"/>
        </w:rPr>
        <w:t>(Council of the EU)</w:t>
      </w:r>
      <w:r w:rsidR="00E6357A">
        <w:rPr>
          <w:rFonts w:ascii="Times New Roman" w:hAnsi="Times New Roman"/>
          <w:sz w:val="24"/>
          <w:szCs w:val="24"/>
        </w:rPr>
        <w:t xml:space="preserve"> </w:t>
      </w:r>
      <w:r w:rsidRPr="00B818EF">
        <w:rPr>
          <w:rFonts w:ascii="Times New Roman" w:hAnsi="Times New Roman"/>
          <w:sz w:val="24"/>
          <w:szCs w:val="24"/>
        </w:rPr>
        <w:t>pracuje v deseti formacích</w:t>
      </w:r>
      <w:r w:rsidR="00E6357A">
        <w:rPr>
          <w:rFonts w:ascii="Times New Roman" w:hAnsi="Times New Roman"/>
          <w:sz w:val="24"/>
          <w:szCs w:val="24"/>
        </w:rPr>
        <w:t xml:space="preserve">. </w:t>
      </w:r>
      <w:r w:rsidRPr="00B818EF">
        <w:rPr>
          <w:rFonts w:ascii="Times New Roman" w:hAnsi="Times New Roman"/>
          <w:sz w:val="24"/>
          <w:szCs w:val="24"/>
        </w:rPr>
        <w:t>Společná bezpečnostní a obranná politika je koordinována v Radě pro zahraniční věci (Foreign Affairs Council, FAC)</w:t>
      </w:r>
      <w:r w:rsidR="00E6357A">
        <w:rPr>
          <w:rFonts w:ascii="Times New Roman" w:hAnsi="Times New Roman"/>
          <w:sz w:val="24"/>
          <w:szCs w:val="24"/>
        </w:rPr>
        <w:t>.</w:t>
      </w:r>
    </w:p>
    <w:p w:rsidR="00B818EF" w:rsidRPr="00B818EF" w:rsidRDefault="00B818EF" w:rsidP="00E6357A">
      <w:pPr>
        <w:jc w:val="both"/>
        <w:rPr>
          <w:rFonts w:ascii="Times New Roman" w:hAnsi="Times New Roman"/>
          <w:sz w:val="24"/>
          <w:szCs w:val="24"/>
        </w:rPr>
      </w:pPr>
      <w:r w:rsidRPr="00B818EF">
        <w:rPr>
          <w:rFonts w:ascii="Times New Roman" w:hAnsi="Times New Roman"/>
          <w:sz w:val="24"/>
          <w:szCs w:val="24"/>
        </w:rPr>
        <w:t xml:space="preserve">c) Politický a bezpečnostní výbor </w:t>
      </w:r>
      <w:r w:rsidRPr="00B818EF">
        <w:rPr>
          <w:rFonts w:ascii="Times New Roman" w:hAnsi="Times New Roman"/>
          <w:i/>
          <w:iCs/>
          <w:sz w:val="24"/>
          <w:szCs w:val="24"/>
        </w:rPr>
        <w:t>(Political and Security Committee – PSC)</w:t>
      </w:r>
      <w:r w:rsidR="00E6357A">
        <w:rPr>
          <w:rFonts w:ascii="Times New Roman" w:hAnsi="Times New Roman"/>
          <w:sz w:val="24"/>
          <w:szCs w:val="24"/>
        </w:rPr>
        <w:t xml:space="preserve"> je </w:t>
      </w:r>
      <w:r w:rsidRPr="00B818EF">
        <w:rPr>
          <w:rFonts w:ascii="Times New Roman" w:hAnsi="Times New Roman"/>
          <w:sz w:val="24"/>
          <w:szCs w:val="24"/>
        </w:rPr>
        <w:t>stálý</w:t>
      </w:r>
      <w:r w:rsidR="00E6357A">
        <w:rPr>
          <w:rFonts w:ascii="Times New Roman" w:hAnsi="Times New Roman"/>
          <w:sz w:val="24"/>
          <w:szCs w:val="24"/>
        </w:rPr>
        <w:t>m</w:t>
      </w:r>
      <w:r w:rsidRPr="00B818EF">
        <w:rPr>
          <w:rFonts w:ascii="Times New Roman" w:hAnsi="Times New Roman"/>
          <w:sz w:val="24"/>
          <w:szCs w:val="24"/>
        </w:rPr>
        <w:t xml:space="preserve"> výbor</w:t>
      </w:r>
      <w:r w:rsidR="00E6357A">
        <w:rPr>
          <w:rFonts w:ascii="Times New Roman" w:hAnsi="Times New Roman"/>
          <w:sz w:val="24"/>
          <w:szCs w:val="24"/>
        </w:rPr>
        <w:t>em</w:t>
      </w:r>
      <w:r w:rsidRPr="00B818EF">
        <w:rPr>
          <w:rFonts w:ascii="Times New Roman" w:hAnsi="Times New Roman"/>
          <w:sz w:val="24"/>
          <w:szCs w:val="24"/>
        </w:rPr>
        <w:t xml:space="preserve">, </w:t>
      </w:r>
      <w:r w:rsidR="00E6357A">
        <w:rPr>
          <w:rFonts w:ascii="Times New Roman" w:hAnsi="Times New Roman"/>
          <w:sz w:val="24"/>
          <w:szCs w:val="24"/>
        </w:rPr>
        <w:t xml:space="preserve">jenž </w:t>
      </w:r>
      <w:r w:rsidRPr="00B818EF">
        <w:rPr>
          <w:rFonts w:ascii="Times New Roman" w:hAnsi="Times New Roman"/>
          <w:sz w:val="24"/>
          <w:szCs w:val="24"/>
        </w:rPr>
        <w:t xml:space="preserve">sleduje mezinárodní situaci, poskytuje Radě svá stanoviska a přispívá k definování </w:t>
      </w:r>
      <w:r w:rsidRPr="00B818EF">
        <w:rPr>
          <w:rFonts w:ascii="Times New Roman" w:hAnsi="Times New Roman"/>
          <w:sz w:val="24"/>
          <w:szCs w:val="24"/>
        </w:rPr>
        <w:lastRenderedPageBreak/>
        <w:t>společné politiky</w:t>
      </w:r>
      <w:r w:rsidR="00E6357A">
        <w:rPr>
          <w:rFonts w:ascii="Times New Roman" w:hAnsi="Times New Roman"/>
          <w:sz w:val="24"/>
          <w:szCs w:val="24"/>
        </w:rPr>
        <w:t>. P</w:t>
      </w:r>
      <w:r w:rsidRPr="00B818EF">
        <w:rPr>
          <w:rFonts w:ascii="Times New Roman" w:hAnsi="Times New Roman"/>
          <w:sz w:val="24"/>
          <w:szCs w:val="24"/>
        </w:rPr>
        <w:t>od vedením Rady EU vykonává politické řízení a strategické vedení operací krizového řízení EU a stanovuje politický rámec pro rozvoj vojenských schopností</w:t>
      </w:r>
      <w:r w:rsidR="00E6357A">
        <w:rPr>
          <w:rFonts w:ascii="Times New Roman" w:hAnsi="Times New Roman"/>
          <w:sz w:val="24"/>
          <w:szCs w:val="24"/>
        </w:rPr>
        <w:t>.</w:t>
      </w:r>
    </w:p>
    <w:p w:rsidR="00B818EF" w:rsidRPr="00B818EF" w:rsidRDefault="00B818EF" w:rsidP="00E6357A">
      <w:pPr>
        <w:jc w:val="both"/>
        <w:rPr>
          <w:rFonts w:ascii="Times New Roman" w:hAnsi="Times New Roman"/>
          <w:sz w:val="24"/>
          <w:szCs w:val="24"/>
        </w:rPr>
      </w:pPr>
      <w:r w:rsidRPr="00B818EF">
        <w:rPr>
          <w:rFonts w:ascii="Times New Roman" w:hAnsi="Times New Roman"/>
          <w:sz w:val="24"/>
          <w:szCs w:val="24"/>
        </w:rPr>
        <w:t>d) Vojenský výbor (EU Military Committee - EUMC)</w:t>
      </w:r>
      <w:r w:rsidR="00E6357A">
        <w:rPr>
          <w:rFonts w:ascii="Times New Roman" w:hAnsi="Times New Roman"/>
          <w:sz w:val="24"/>
          <w:szCs w:val="24"/>
        </w:rPr>
        <w:t xml:space="preserve"> je </w:t>
      </w:r>
      <w:r w:rsidRPr="00B818EF">
        <w:rPr>
          <w:rFonts w:ascii="Times New Roman" w:hAnsi="Times New Roman"/>
          <w:sz w:val="24"/>
          <w:szCs w:val="24"/>
        </w:rPr>
        <w:t>nejvyšší</w:t>
      </w:r>
      <w:r w:rsidR="00E6357A">
        <w:rPr>
          <w:rFonts w:ascii="Times New Roman" w:hAnsi="Times New Roman"/>
          <w:sz w:val="24"/>
          <w:szCs w:val="24"/>
        </w:rPr>
        <w:t>m</w:t>
      </w:r>
      <w:r w:rsidRPr="00B818EF">
        <w:rPr>
          <w:rFonts w:ascii="Times New Roman" w:hAnsi="Times New Roman"/>
          <w:sz w:val="24"/>
          <w:szCs w:val="24"/>
        </w:rPr>
        <w:t xml:space="preserve"> vojenský</w:t>
      </w:r>
      <w:r w:rsidR="00E6357A">
        <w:rPr>
          <w:rFonts w:ascii="Times New Roman" w:hAnsi="Times New Roman"/>
          <w:sz w:val="24"/>
          <w:szCs w:val="24"/>
        </w:rPr>
        <w:t>m</w:t>
      </w:r>
      <w:r w:rsidRPr="00B818EF">
        <w:rPr>
          <w:rFonts w:ascii="Times New Roman" w:hAnsi="Times New Roman"/>
          <w:sz w:val="24"/>
          <w:szCs w:val="24"/>
        </w:rPr>
        <w:t xml:space="preserve"> orgán</w:t>
      </w:r>
      <w:r w:rsidR="00E6357A">
        <w:rPr>
          <w:rFonts w:ascii="Times New Roman" w:hAnsi="Times New Roman"/>
          <w:sz w:val="24"/>
          <w:szCs w:val="24"/>
        </w:rPr>
        <w:t>em</w:t>
      </w:r>
      <w:r w:rsidRPr="00B818EF">
        <w:rPr>
          <w:rFonts w:ascii="Times New Roman" w:hAnsi="Times New Roman"/>
          <w:sz w:val="24"/>
          <w:szCs w:val="24"/>
        </w:rPr>
        <w:t xml:space="preserve"> v rámci Rady EU</w:t>
      </w:r>
      <w:r w:rsidR="00E6357A">
        <w:rPr>
          <w:rFonts w:ascii="Times New Roman" w:hAnsi="Times New Roman"/>
          <w:sz w:val="24"/>
          <w:szCs w:val="24"/>
        </w:rPr>
        <w:t xml:space="preserve"> a </w:t>
      </w:r>
      <w:r w:rsidRPr="00B818EF">
        <w:rPr>
          <w:rFonts w:ascii="Times New Roman" w:hAnsi="Times New Roman"/>
          <w:sz w:val="24"/>
          <w:szCs w:val="24"/>
        </w:rPr>
        <w:t>poradní</w:t>
      </w:r>
      <w:r w:rsidR="00E6357A">
        <w:rPr>
          <w:rFonts w:ascii="Times New Roman" w:hAnsi="Times New Roman"/>
          <w:sz w:val="24"/>
          <w:szCs w:val="24"/>
        </w:rPr>
        <w:t>m</w:t>
      </w:r>
      <w:r w:rsidRPr="00B818EF">
        <w:rPr>
          <w:rFonts w:ascii="Times New Roman" w:hAnsi="Times New Roman"/>
          <w:sz w:val="24"/>
          <w:szCs w:val="24"/>
        </w:rPr>
        <w:t xml:space="preserve"> orgán</w:t>
      </w:r>
      <w:r w:rsidR="00E6357A">
        <w:rPr>
          <w:rFonts w:ascii="Times New Roman" w:hAnsi="Times New Roman"/>
          <w:sz w:val="24"/>
          <w:szCs w:val="24"/>
        </w:rPr>
        <w:t>em</w:t>
      </w:r>
      <w:r w:rsidRPr="00B818EF">
        <w:rPr>
          <w:rFonts w:ascii="Times New Roman" w:hAnsi="Times New Roman"/>
          <w:sz w:val="24"/>
          <w:szCs w:val="24"/>
        </w:rPr>
        <w:t xml:space="preserve"> pro vojenské záležitosti projednávané Politickým a bezpečnostním výborem</w:t>
      </w:r>
      <w:r w:rsidR="00E6357A">
        <w:rPr>
          <w:rFonts w:ascii="Times New Roman" w:hAnsi="Times New Roman"/>
          <w:sz w:val="24"/>
          <w:szCs w:val="24"/>
        </w:rPr>
        <w:t xml:space="preserve">. Je </w:t>
      </w:r>
      <w:r w:rsidRPr="00B818EF">
        <w:rPr>
          <w:rFonts w:ascii="Times New Roman" w:hAnsi="Times New Roman"/>
          <w:sz w:val="24"/>
          <w:szCs w:val="24"/>
        </w:rPr>
        <w:t>složen z náčelníků generálních štábů ozbrojených sil členských států EU</w:t>
      </w:r>
      <w:r w:rsidR="00E6357A">
        <w:rPr>
          <w:rFonts w:ascii="Times New Roman" w:hAnsi="Times New Roman"/>
          <w:sz w:val="24"/>
          <w:szCs w:val="24"/>
        </w:rPr>
        <w:t>.</w:t>
      </w:r>
    </w:p>
    <w:p w:rsidR="00B818EF" w:rsidRDefault="00B818EF" w:rsidP="00E6357A">
      <w:pPr>
        <w:jc w:val="both"/>
        <w:rPr>
          <w:rFonts w:ascii="Times New Roman" w:hAnsi="Times New Roman"/>
          <w:sz w:val="24"/>
          <w:szCs w:val="24"/>
        </w:rPr>
      </w:pPr>
      <w:r w:rsidRPr="00B818EF">
        <w:rPr>
          <w:rFonts w:ascii="Times New Roman" w:hAnsi="Times New Roman"/>
          <w:sz w:val="24"/>
          <w:szCs w:val="24"/>
        </w:rPr>
        <w:t>e) Výbor pro civilní aspekty krizového řízení (Committee for Civilian Aspects of Crisis Management – CivCom)</w:t>
      </w:r>
      <w:r w:rsidR="00E6357A">
        <w:rPr>
          <w:rFonts w:ascii="Times New Roman" w:hAnsi="Times New Roman"/>
          <w:sz w:val="24"/>
          <w:szCs w:val="24"/>
        </w:rPr>
        <w:t xml:space="preserve"> je </w:t>
      </w:r>
      <w:r w:rsidRPr="00B818EF">
        <w:rPr>
          <w:rFonts w:ascii="Times New Roman" w:hAnsi="Times New Roman"/>
          <w:sz w:val="24"/>
          <w:szCs w:val="24"/>
        </w:rPr>
        <w:t>poradní</w:t>
      </w:r>
      <w:r w:rsidR="00E6357A">
        <w:rPr>
          <w:rFonts w:ascii="Times New Roman" w:hAnsi="Times New Roman"/>
          <w:sz w:val="24"/>
          <w:szCs w:val="24"/>
        </w:rPr>
        <w:t>m</w:t>
      </w:r>
      <w:r w:rsidRPr="00B818EF">
        <w:rPr>
          <w:rFonts w:ascii="Times New Roman" w:hAnsi="Times New Roman"/>
          <w:sz w:val="24"/>
          <w:szCs w:val="24"/>
        </w:rPr>
        <w:t xml:space="preserve"> orgán</w:t>
      </w:r>
      <w:r w:rsidR="00E6357A">
        <w:rPr>
          <w:rFonts w:ascii="Times New Roman" w:hAnsi="Times New Roman"/>
          <w:sz w:val="24"/>
          <w:szCs w:val="24"/>
        </w:rPr>
        <w:t>em</w:t>
      </w:r>
      <w:r w:rsidRPr="00B818EF">
        <w:rPr>
          <w:rFonts w:ascii="Times New Roman" w:hAnsi="Times New Roman"/>
          <w:sz w:val="24"/>
          <w:szCs w:val="24"/>
        </w:rPr>
        <w:t xml:space="preserve"> pro civilní aspekty řešení krizí</w:t>
      </w:r>
      <w:r w:rsidR="00E6357A">
        <w:rPr>
          <w:rFonts w:ascii="Times New Roman" w:hAnsi="Times New Roman"/>
          <w:sz w:val="24"/>
          <w:szCs w:val="24"/>
        </w:rPr>
        <w:t xml:space="preserve">, jenž </w:t>
      </w:r>
      <w:r w:rsidRPr="00B818EF">
        <w:rPr>
          <w:rFonts w:ascii="Times New Roman" w:hAnsi="Times New Roman"/>
          <w:sz w:val="24"/>
          <w:szCs w:val="24"/>
        </w:rPr>
        <w:t>zajišťuje vytváření nevojenských jednotek k řešení krizí a konfliktů (např. policejní jednotky, záchranáři, justiční kapacita)</w:t>
      </w:r>
      <w:r w:rsidR="00230C58">
        <w:rPr>
          <w:rFonts w:ascii="Times New Roman" w:hAnsi="Times New Roman"/>
          <w:sz w:val="24"/>
          <w:szCs w:val="24"/>
        </w:rPr>
        <w:t>.</w:t>
      </w:r>
    </w:p>
    <w:p w:rsidR="00B818EF" w:rsidRPr="00B818EF" w:rsidRDefault="00B818EF" w:rsidP="00230C58">
      <w:pPr>
        <w:jc w:val="both"/>
        <w:rPr>
          <w:rFonts w:ascii="Times New Roman" w:hAnsi="Times New Roman"/>
          <w:sz w:val="24"/>
          <w:szCs w:val="24"/>
        </w:rPr>
      </w:pPr>
      <w:r w:rsidRPr="00B818EF">
        <w:rPr>
          <w:rFonts w:ascii="Times New Roman" w:hAnsi="Times New Roman"/>
          <w:sz w:val="24"/>
          <w:szCs w:val="24"/>
        </w:rPr>
        <w:t xml:space="preserve">f) Vysoký představitel Unie pro zahraniční věci a bezpečnostní politiku (High Representative for the Common Foreign and Security Policy </w:t>
      </w:r>
      <w:r w:rsidR="00230C58">
        <w:rPr>
          <w:rFonts w:ascii="Times New Roman" w:hAnsi="Times New Roman"/>
          <w:sz w:val="24"/>
          <w:szCs w:val="24"/>
        </w:rPr>
        <w:t>–</w:t>
      </w:r>
      <w:r w:rsidRPr="00B818EF">
        <w:rPr>
          <w:rFonts w:ascii="Times New Roman" w:hAnsi="Times New Roman"/>
          <w:sz w:val="24"/>
          <w:szCs w:val="24"/>
        </w:rPr>
        <w:t xml:space="preserve"> HR/VP)</w:t>
      </w:r>
      <w:r w:rsidR="00230C58">
        <w:rPr>
          <w:rFonts w:ascii="Times New Roman" w:hAnsi="Times New Roman"/>
          <w:sz w:val="24"/>
          <w:szCs w:val="24"/>
        </w:rPr>
        <w:t xml:space="preserve"> z</w:t>
      </w:r>
      <w:r w:rsidRPr="00B818EF">
        <w:rPr>
          <w:rFonts w:ascii="Times New Roman" w:hAnsi="Times New Roman"/>
          <w:sz w:val="24"/>
          <w:szCs w:val="24"/>
        </w:rPr>
        <w:t>ajišťuje politickou viditelnost a jednotný hlas EU v oblasti Společné zahraniční a bezpečnostní politiky</w:t>
      </w:r>
      <w:r w:rsidR="00230C58">
        <w:rPr>
          <w:rFonts w:ascii="Times New Roman" w:hAnsi="Times New Roman"/>
          <w:sz w:val="24"/>
          <w:szCs w:val="24"/>
        </w:rPr>
        <w:t xml:space="preserve">, </w:t>
      </w:r>
      <w:r w:rsidRPr="00B818EF">
        <w:rPr>
          <w:rFonts w:ascii="Times New Roman" w:hAnsi="Times New Roman"/>
          <w:sz w:val="24"/>
          <w:szCs w:val="24"/>
        </w:rPr>
        <w:t xml:space="preserve">přispívá k formulování, přípravě a provádění rozhodnutí a </w:t>
      </w:r>
      <w:r w:rsidR="00230C58">
        <w:rPr>
          <w:rFonts w:ascii="Times New Roman" w:hAnsi="Times New Roman"/>
          <w:sz w:val="24"/>
          <w:szCs w:val="24"/>
        </w:rPr>
        <w:t>vede</w:t>
      </w:r>
      <w:r w:rsidRPr="00B818EF">
        <w:rPr>
          <w:rFonts w:ascii="Times New Roman" w:hAnsi="Times New Roman"/>
          <w:sz w:val="24"/>
          <w:szCs w:val="24"/>
        </w:rPr>
        <w:t xml:space="preserve"> jménem Rady EU politický dialog se třetími stranami</w:t>
      </w:r>
      <w:r w:rsidR="00230C58">
        <w:rPr>
          <w:rFonts w:ascii="Times New Roman" w:hAnsi="Times New Roman"/>
          <w:sz w:val="24"/>
          <w:szCs w:val="24"/>
        </w:rPr>
        <w:t>.</w:t>
      </w:r>
    </w:p>
    <w:p w:rsidR="00B818EF" w:rsidRPr="00B818EF" w:rsidRDefault="00B818EF" w:rsidP="00230C58">
      <w:pPr>
        <w:jc w:val="both"/>
        <w:rPr>
          <w:rFonts w:ascii="Times New Roman" w:hAnsi="Times New Roman"/>
          <w:sz w:val="24"/>
          <w:szCs w:val="24"/>
        </w:rPr>
      </w:pPr>
      <w:r w:rsidRPr="00B818EF">
        <w:rPr>
          <w:rFonts w:ascii="Times New Roman" w:hAnsi="Times New Roman"/>
          <w:b/>
          <w:bCs/>
          <w:sz w:val="24"/>
          <w:szCs w:val="24"/>
        </w:rPr>
        <w:t xml:space="preserve">K dosažení svých cílů EU </w:t>
      </w:r>
      <w:r w:rsidRPr="00B818EF">
        <w:rPr>
          <w:rFonts w:ascii="Times New Roman" w:hAnsi="Times New Roman"/>
          <w:sz w:val="24"/>
          <w:szCs w:val="24"/>
        </w:rPr>
        <w:t>přijímá</w:t>
      </w:r>
      <w:r w:rsidR="00230C58">
        <w:rPr>
          <w:rFonts w:ascii="Times New Roman" w:hAnsi="Times New Roman"/>
          <w:sz w:val="24"/>
          <w:szCs w:val="24"/>
        </w:rPr>
        <w:t xml:space="preserve"> </w:t>
      </w:r>
      <w:r w:rsidRPr="00B818EF">
        <w:rPr>
          <w:rFonts w:ascii="Times New Roman" w:hAnsi="Times New Roman"/>
          <w:sz w:val="24"/>
          <w:szCs w:val="24"/>
        </w:rPr>
        <w:t>společné postoje (většina postojů byla věnována Balkánu, Ukrajině, migraci, ale i zbraním hromadného ničení);</w:t>
      </w:r>
      <w:r w:rsidR="00230C58">
        <w:rPr>
          <w:rFonts w:ascii="Times New Roman" w:hAnsi="Times New Roman"/>
          <w:sz w:val="24"/>
          <w:szCs w:val="24"/>
        </w:rPr>
        <w:t xml:space="preserve"> </w:t>
      </w:r>
      <w:r w:rsidRPr="00B818EF">
        <w:rPr>
          <w:rFonts w:ascii="Times New Roman" w:hAnsi="Times New Roman"/>
          <w:sz w:val="24"/>
          <w:szCs w:val="24"/>
        </w:rPr>
        <w:t>společné akce (například v oblasti Balkánu dřívější vojenská operace CONCORDIA a současná Althea, na africkém rohu operace SOMALIA [Atalanta]), EUTM v Mali, a ve Středomoří operace EUNAVFOR MED;</w:t>
      </w:r>
      <w:r w:rsidR="00230C58">
        <w:rPr>
          <w:rFonts w:ascii="Times New Roman" w:hAnsi="Times New Roman"/>
          <w:sz w:val="24"/>
          <w:szCs w:val="24"/>
        </w:rPr>
        <w:t xml:space="preserve"> </w:t>
      </w:r>
      <w:r w:rsidRPr="00B818EF">
        <w:rPr>
          <w:rFonts w:ascii="Times New Roman" w:hAnsi="Times New Roman"/>
          <w:sz w:val="24"/>
          <w:szCs w:val="24"/>
        </w:rPr>
        <w:t>společné strategie (doposud byla například přijata společná strategie EU vůči Rusku, Ukrajině a Středomoří);</w:t>
      </w:r>
      <w:r w:rsidR="00230C58">
        <w:rPr>
          <w:rFonts w:ascii="Times New Roman" w:hAnsi="Times New Roman"/>
          <w:sz w:val="24"/>
          <w:szCs w:val="24"/>
        </w:rPr>
        <w:t xml:space="preserve"> </w:t>
      </w:r>
      <w:r w:rsidRPr="00B818EF">
        <w:rPr>
          <w:rFonts w:ascii="Times New Roman" w:hAnsi="Times New Roman"/>
          <w:sz w:val="24"/>
          <w:szCs w:val="24"/>
        </w:rPr>
        <w:t>uzavírá mezinárodní dohody;</w:t>
      </w:r>
      <w:r w:rsidR="00230C58">
        <w:rPr>
          <w:rFonts w:ascii="Times New Roman" w:hAnsi="Times New Roman"/>
          <w:sz w:val="24"/>
          <w:szCs w:val="24"/>
        </w:rPr>
        <w:t xml:space="preserve"> </w:t>
      </w:r>
      <w:r w:rsidRPr="00B818EF">
        <w:rPr>
          <w:rFonts w:ascii="Times New Roman" w:hAnsi="Times New Roman"/>
          <w:sz w:val="24"/>
          <w:szCs w:val="24"/>
        </w:rPr>
        <w:t>vydává deklarace</w:t>
      </w:r>
      <w:r w:rsidR="00230C58">
        <w:rPr>
          <w:rFonts w:ascii="Times New Roman" w:hAnsi="Times New Roman"/>
          <w:sz w:val="24"/>
          <w:szCs w:val="24"/>
        </w:rPr>
        <w:t xml:space="preserve"> a </w:t>
      </w:r>
      <w:r w:rsidRPr="00B818EF">
        <w:rPr>
          <w:rFonts w:ascii="Times New Roman" w:hAnsi="Times New Roman"/>
          <w:sz w:val="24"/>
          <w:szCs w:val="24"/>
        </w:rPr>
        <w:t>udržuje kontakty se zeměmi mimo Evropskou unii.</w:t>
      </w:r>
    </w:p>
    <w:p w:rsidR="00B818EF" w:rsidRDefault="00B818EF" w:rsidP="00986660">
      <w:pPr>
        <w:jc w:val="both"/>
        <w:rPr>
          <w:rFonts w:ascii="Times New Roman" w:hAnsi="Times New Roman"/>
          <w:sz w:val="24"/>
          <w:szCs w:val="24"/>
        </w:rPr>
      </w:pPr>
      <w:r w:rsidRPr="00B818EF">
        <w:rPr>
          <w:rFonts w:ascii="Times New Roman" w:hAnsi="Times New Roman"/>
          <w:sz w:val="24"/>
          <w:szCs w:val="24"/>
        </w:rPr>
        <w:t xml:space="preserve">zdroj: </w:t>
      </w:r>
      <w:hyperlink r:id="rId8" w:history="1">
        <w:r w:rsidRPr="00B818EF">
          <w:rPr>
            <w:rStyle w:val="Hypertextovodkaz"/>
            <w:rFonts w:ascii="Times New Roman" w:hAnsi="Times New Roman"/>
            <w:sz w:val="24"/>
            <w:szCs w:val="24"/>
          </w:rPr>
          <w:t>http://www.mocr.army.cz/dokumenty-a-legislativa/eu/rozhodovaci-organy-eu-v-ramci-spolecne-zahranicni-a-bezpecnostni-politiky-7406/</w:t>
        </w:r>
      </w:hyperlink>
    </w:p>
    <w:p w:rsidR="00B818EF" w:rsidRDefault="00B818EF" w:rsidP="00230C58">
      <w:pPr>
        <w:jc w:val="both"/>
        <w:rPr>
          <w:rFonts w:ascii="Times New Roman" w:hAnsi="Times New Roman"/>
          <w:sz w:val="24"/>
          <w:szCs w:val="24"/>
        </w:rPr>
      </w:pPr>
      <w:r w:rsidRPr="00B818EF">
        <w:rPr>
          <w:rFonts w:ascii="Times New Roman" w:hAnsi="Times New Roman"/>
          <w:b/>
          <w:bCs/>
          <w:sz w:val="24"/>
          <w:szCs w:val="24"/>
        </w:rPr>
        <w:t xml:space="preserve">Evropská obranná agentura (European Defence Agency </w:t>
      </w:r>
      <w:r w:rsidR="00230C58">
        <w:rPr>
          <w:rFonts w:ascii="Times New Roman" w:hAnsi="Times New Roman"/>
          <w:b/>
          <w:bCs/>
          <w:sz w:val="24"/>
          <w:szCs w:val="24"/>
        </w:rPr>
        <w:t>–</w:t>
      </w:r>
      <w:r w:rsidRPr="00B818EF">
        <w:rPr>
          <w:rFonts w:ascii="Times New Roman" w:hAnsi="Times New Roman"/>
          <w:b/>
          <w:bCs/>
          <w:sz w:val="24"/>
          <w:szCs w:val="24"/>
        </w:rPr>
        <w:t xml:space="preserve"> EDA)</w:t>
      </w:r>
      <w:r w:rsidR="00230C58">
        <w:rPr>
          <w:rFonts w:ascii="Times New Roman" w:hAnsi="Times New Roman"/>
          <w:sz w:val="24"/>
          <w:szCs w:val="24"/>
        </w:rPr>
        <w:t xml:space="preserve"> </w:t>
      </w:r>
      <w:r w:rsidRPr="00B818EF">
        <w:rPr>
          <w:rFonts w:ascii="Times New Roman" w:hAnsi="Times New Roman"/>
          <w:sz w:val="24"/>
          <w:szCs w:val="24"/>
        </w:rPr>
        <w:t>byla založena v roce 2004 k podpoře Rady a členských států v úsilí ke zlepšení obranných schopností EU pro naplňování cílů Společné bezpečnostní a obranné politiky EU</w:t>
      </w:r>
      <w:r w:rsidR="00230C58">
        <w:rPr>
          <w:rFonts w:ascii="Times New Roman" w:hAnsi="Times New Roman"/>
          <w:sz w:val="24"/>
          <w:szCs w:val="24"/>
        </w:rPr>
        <w:t xml:space="preserve">. Jedná se o </w:t>
      </w:r>
      <w:r w:rsidRPr="00B818EF">
        <w:rPr>
          <w:rFonts w:ascii="Times New Roman" w:hAnsi="Times New Roman"/>
          <w:sz w:val="24"/>
          <w:szCs w:val="24"/>
        </w:rPr>
        <w:t>mezivládní platform</w:t>
      </w:r>
      <w:r w:rsidR="00230C58">
        <w:rPr>
          <w:rFonts w:ascii="Times New Roman" w:hAnsi="Times New Roman"/>
          <w:sz w:val="24"/>
          <w:szCs w:val="24"/>
        </w:rPr>
        <w:t>u</w:t>
      </w:r>
      <w:r w:rsidRPr="00B818EF">
        <w:rPr>
          <w:rFonts w:ascii="Times New Roman" w:hAnsi="Times New Roman"/>
          <w:sz w:val="24"/>
          <w:szCs w:val="24"/>
        </w:rPr>
        <w:t xml:space="preserve"> na podporu spolupráce členských států v obranných otázkách</w:t>
      </w:r>
      <w:r w:rsidR="00230C58">
        <w:rPr>
          <w:rFonts w:ascii="Times New Roman" w:hAnsi="Times New Roman"/>
          <w:sz w:val="24"/>
          <w:szCs w:val="24"/>
        </w:rPr>
        <w:t>.</w:t>
      </w:r>
      <w:r w:rsidRPr="00B818EF">
        <w:rPr>
          <w:rFonts w:ascii="Times New Roman" w:hAnsi="Times New Roman"/>
          <w:sz w:val="24"/>
          <w:szCs w:val="24"/>
        </w:rPr>
        <w:t xml:space="preserve"> </w:t>
      </w:r>
      <w:r w:rsidR="00230C58">
        <w:rPr>
          <w:rFonts w:ascii="Times New Roman" w:hAnsi="Times New Roman"/>
          <w:sz w:val="24"/>
          <w:szCs w:val="24"/>
        </w:rPr>
        <w:t xml:space="preserve">EDA </w:t>
      </w:r>
      <w:r w:rsidRPr="00B818EF">
        <w:rPr>
          <w:rFonts w:ascii="Times New Roman" w:hAnsi="Times New Roman"/>
          <w:sz w:val="24"/>
          <w:szCs w:val="24"/>
        </w:rPr>
        <w:t>poskytuje podporu projektům spolupráce v oblasti evropské obrany a zajišťuje platformu pro spolupráci mezi ministry obrany zemí EU</w:t>
      </w:r>
      <w:r w:rsidR="00230C58">
        <w:rPr>
          <w:rFonts w:ascii="Times New Roman" w:hAnsi="Times New Roman"/>
          <w:sz w:val="24"/>
          <w:szCs w:val="24"/>
        </w:rPr>
        <w:t>. P</w:t>
      </w:r>
      <w:r w:rsidRPr="00B818EF">
        <w:rPr>
          <w:rFonts w:ascii="Times New Roman" w:hAnsi="Times New Roman"/>
          <w:sz w:val="24"/>
          <w:szCs w:val="24"/>
        </w:rPr>
        <w:t>oskytuje svým 26 členským zemím (země EU s výjimkou Dánska) podporu při zvyšování jejich obranyschopnosti prostřednictvím spolupráce na evropské úrovni</w:t>
      </w:r>
      <w:r w:rsidR="00230C58">
        <w:rPr>
          <w:rFonts w:ascii="Times New Roman" w:hAnsi="Times New Roman"/>
          <w:sz w:val="24"/>
          <w:szCs w:val="24"/>
        </w:rPr>
        <w:t xml:space="preserve">. </w:t>
      </w:r>
      <w:r w:rsidRPr="00B818EF">
        <w:rPr>
          <w:rFonts w:ascii="Times New Roman" w:hAnsi="Times New Roman"/>
          <w:sz w:val="24"/>
          <w:szCs w:val="24"/>
        </w:rPr>
        <w:t xml:space="preserve">Hlavními úkoly EDA jsou </w:t>
      </w:r>
      <w:r w:rsidR="00230C58">
        <w:rPr>
          <w:rFonts w:ascii="Times New Roman" w:hAnsi="Times New Roman"/>
          <w:sz w:val="24"/>
          <w:szCs w:val="24"/>
        </w:rPr>
        <w:t>p</w:t>
      </w:r>
      <w:r w:rsidRPr="00B818EF">
        <w:rPr>
          <w:rFonts w:ascii="Times New Roman" w:hAnsi="Times New Roman"/>
          <w:sz w:val="24"/>
          <w:szCs w:val="24"/>
        </w:rPr>
        <w:t>odpora rozvoje evropských obranných schopností a vojenské spolupráce</w:t>
      </w:r>
      <w:r w:rsidR="00986660">
        <w:rPr>
          <w:rFonts w:ascii="Times New Roman" w:hAnsi="Times New Roman"/>
          <w:sz w:val="24"/>
          <w:szCs w:val="24"/>
        </w:rPr>
        <w:t>,</w:t>
      </w:r>
      <w:r w:rsidRPr="00B818EF">
        <w:rPr>
          <w:rFonts w:ascii="Times New Roman" w:hAnsi="Times New Roman"/>
          <w:sz w:val="24"/>
          <w:szCs w:val="24"/>
        </w:rPr>
        <w:t xml:space="preserve"> </w:t>
      </w:r>
      <w:r w:rsidR="00986660">
        <w:rPr>
          <w:rFonts w:ascii="Times New Roman" w:hAnsi="Times New Roman"/>
          <w:sz w:val="24"/>
          <w:szCs w:val="24"/>
        </w:rPr>
        <w:t>s</w:t>
      </w:r>
      <w:r w:rsidRPr="00B818EF">
        <w:rPr>
          <w:rFonts w:ascii="Times New Roman" w:hAnsi="Times New Roman"/>
          <w:sz w:val="24"/>
          <w:szCs w:val="24"/>
        </w:rPr>
        <w:t>timulace obranných technologií a posílení evropského obranného průmyslu</w:t>
      </w:r>
      <w:r>
        <w:rPr>
          <w:rFonts w:ascii="Times New Roman" w:hAnsi="Times New Roman"/>
          <w:sz w:val="24"/>
          <w:szCs w:val="24"/>
        </w:rPr>
        <w:t>.</w:t>
      </w:r>
    </w:p>
    <w:p w:rsidR="00986660" w:rsidRDefault="00B818EF" w:rsidP="00986660">
      <w:pPr>
        <w:jc w:val="both"/>
        <w:rPr>
          <w:rFonts w:ascii="Times New Roman" w:hAnsi="Times New Roman"/>
          <w:sz w:val="24"/>
          <w:szCs w:val="24"/>
        </w:rPr>
      </w:pPr>
      <w:r w:rsidRPr="00B818EF">
        <w:rPr>
          <w:rFonts w:ascii="Times New Roman" w:hAnsi="Times New Roman"/>
          <w:b/>
          <w:bCs/>
          <w:sz w:val="24"/>
          <w:szCs w:val="24"/>
        </w:rPr>
        <w:t xml:space="preserve">Společná bezpečnostní a obranná politika (SBOP) </w:t>
      </w:r>
      <w:r w:rsidRPr="00B818EF">
        <w:rPr>
          <w:rFonts w:ascii="Times New Roman" w:hAnsi="Times New Roman"/>
          <w:sz w:val="24"/>
          <w:szCs w:val="24"/>
        </w:rPr>
        <w:t>byla založena v roce 1999. Do vstupu Lisabonské smlouvy v platnost se označovala jako Evropská bezpečnostní a obranná politika. Zahrnuje spolupráci v oblasti vojenství a zvládání krizí v rámci širší Společné zahraniční a bezpečnostní politiky (SZBP). V rámci politik si drží zvláštní postavení.</w:t>
      </w:r>
      <w:r w:rsidR="00986660">
        <w:rPr>
          <w:rFonts w:ascii="Times New Roman" w:hAnsi="Times New Roman"/>
          <w:sz w:val="24"/>
          <w:szCs w:val="24"/>
        </w:rPr>
        <w:t xml:space="preserve"> </w:t>
      </w:r>
      <w:r w:rsidRPr="00B818EF">
        <w:rPr>
          <w:rFonts w:ascii="Times New Roman" w:hAnsi="Times New Roman"/>
          <w:sz w:val="24"/>
          <w:szCs w:val="24"/>
        </w:rPr>
        <w:t>SBOP je bezpečnostní a obrann</w:t>
      </w:r>
      <w:r w:rsidR="00986660">
        <w:rPr>
          <w:rFonts w:ascii="Times New Roman" w:hAnsi="Times New Roman"/>
          <w:sz w:val="24"/>
          <w:szCs w:val="24"/>
        </w:rPr>
        <w:t>ou</w:t>
      </w:r>
      <w:r w:rsidRPr="00B818EF">
        <w:rPr>
          <w:rFonts w:ascii="Times New Roman" w:hAnsi="Times New Roman"/>
          <w:sz w:val="24"/>
          <w:szCs w:val="24"/>
        </w:rPr>
        <w:t xml:space="preserve"> politik</w:t>
      </w:r>
      <w:r w:rsidR="00986660">
        <w:rPr>
          <w:rFonts w:ascii="Times New Roman" w:hAnsi="Times New Roman"/>
          <w:sz w:val="24"/>
          <w:szCs w:val="24"/>
        </w:rPr>
        <w:t>ou</w:t>
      </w:r>
      <w:r w:rsidRPr="00B818EF">
        <w:rPr>
          <w:rFonts w:ascii="Times New Roman" w:hAnsi="Times New Roman"/>
          <w:sz w:val="24"/>
          <w:szCs w:val="24"/>
        </w:rPr>
        <w:t xml:space="preserve"> pro EU. Je nedílnou součástí zahraniční politiky EU, společné zahraniční a bezpečnostní politiky (SZBP)</w:t>
      </w:r>
      <w:r w:rsidR="00986660">
        <w:rPr>
          <w:rFonts w:ascii="Times New Roman" w:hAnsi="Times New Roman"/>
          <w:sz w:val="24"/>
          <w:szCs w:val="24"/>
        </w:rPr>
        <w:t xml:space="preserve"> a v</w:t>
      </w:r>
      <w:r w:rsidRPr="00B818EF">
        <w:rPr>
          <w:rFonts w:ascii="Times New Roman" w:hAnsi="Times New Roman"/>
          <w:sz w:val="24"/>
          <w:szCs w:val="24"/>
        </w:rPr>
        <w:t xml:space="preserve">ytváří rámec pro vojenské a obranné aspekty politiky EU. </w:t>
      </w:r>
    </w:p>
    <w:p w:rsidR="00B818EF" w:rsidRPr="00B818EF" w:rsidRDefault="00B818EF" w:rsidP="00986660">
      <w:pPr>
        <w:jc w:val="both"/>
        <w:rPr>
          <w:rFonts w:ascii="Times New Roman" w:hAnsi="Times New Roman"/>
          <w:sz w:val="24"/>
          <w:szCs w:val="24"/>
        </w:rPr>
      </w:pPr>
      <w:r w:rsidRPr="00B818EF">
        <w:rPr>
          <w:rFonts w:ascii="Times New Roman" w:hAnsi="Times New Roman"/>
          <w:b/>
          <w:bCs/>
          <w:sz w:val="24"/>
          <w:szCs w:val="24"/>
        </w:rPr>
        <w:lastRenderedPageBreak/>
        <w:t>SBOP</w:t>
      </w:r>
      <w:r w:rsidRPr="00B818EF">
        <w:rPr>
          <w:rFonts w:ascii="Times New Roman" w:hAnsi="Times New Roman"/>
          <w:sz w:val="24"/>
          <w:szCs w:val="24"/>
        </w:rPr>
        <w:t xml:space="preserve"> byla vytvořena podepsáním Lisabonské smlouvy v roce 2009 a nahrazuje a rozšiřuje někdejší evropskou bezpečnostní a obrannou politiku (EBOP). Cílem této politiky je vytvoření společné evropské obranné schopnosti.</w:t>
      </w:r>
      <w:r w:rsidR="00986660">
        <w:rPr>
          <w:rFonts w:ascii="Times New Roman" w:hAnsi="Times New Roman"/>
          <w:sz w:val="24"/>
          <w:szCs w:val="24"/>
        </w:rPr>
        <w:t xml:space="preserve"> Z</w:t>
      </w:r>
      <w:r w:rsidRPr="00B818EF">
        <w:rPr>
          <w:rFonts w:ascii="Times New Roman" w:hAnsi="Times New Roman"/>
          <w:sz w:val="24"/>
          <w:szCs w:val="24"/>
        </w:rPr>
        <w:t xml:space="preserve">emě EU </w:t>
      </w:r>
      <w:r w:rsidR="00986660">
        <w:rPr>
          <w:rFonts w:ascii="Times New Roman" w:hAnsi="Times New Roman"/>
          <w:sz w:val="24"/>
          <w:szCs w:val="24"/>
        </w:rPr>
        <w:t>mají</w:t>
      </w:r>
      <w:r w:rsidRPr="00B818EF">
        <w:rPr>
          <w:rFonts w:ascii="Times New Roman" w:hAnsi="Times New Roman"/>
          <w:sz w:val="24"/>
          <w:szCs w:val="24"/>
        </w:rPr>
        <w:t xml:space="preserve"> povinnost dát civilní a vojenské schopnosti k dispozici EU pro provádění SBOP</w:t>
      </w:r>
      <w:r w:rsidR="00986660">
        <w:rPr>
          <w:rFonts w:ascii="Times New Roman" w:hAnsi="Times New Roman"/>
          <w:sz w:val="24"/>
          <w:szCs w:val="24"/>
        </w:rPr>
        <w:t xml:space="preserve">. </w:t>
      </w:r>
      <w:r w:rsidRPr="00B818EF">
        <w:rPr>
          <w:rFonts w:ascii="Times New Roman" w:hAnsi="Times New Roman"/>
          <w:sz w:val="24"/>
          <w:szCs w:val="24"/>
        </w:rPr>
        <w:t>SBOP zahrnuje utváření společné obranné politiky EU</w:t>
      </w:r>
      <w:r w:rsidR="00986660">
        <w:rPr>
          <w:rFonts w:ascii="Times New Roman" w:hAnsi="Times New Roman"/>
          <w:sz w:val="24"/>
          <w:szCs w:val="24"/>
        </w:rPr>
        <w:t>. P</w:t>
      </w:r>
      <w:r w:rsidRPr="00B818EF">
        <w:rPr>
          <w:rFonts w:ascii="Times New Roman" w:hAnsi="Times New Roman"/>
          <w:sz w:val="24"/>
          <w:szCs w:val="24"/>
        </w:rPr>
        <w:t>olitika EU nebude ovlivňovat specifický charakter bezpečnostní a obranné politiky některých zemí EU a bude respektovat povinnosti některých zemí EU v NATO</w:t>
      </w:r>
      <w:r w:rsidR="00986660">
        <w:rPr>
          <w:rFonts w:ascii="Times New Roman" w:hAnsi="Times New Roman"/>
          <w:sz w:val="24"/>
          <w:szCs w:val="24"/>
        </w:rPr>
        <w:t>. V</w:t>
      </w:r>
      <w:r w:rsidRPr="00B818EF">
        <w:rPr>
          <w:rFonts w:ascii="Times New Roman" w:hAnsi="Times New Roman"/>
          <w:sz w:val="24"/>
          <w:szCs w:val="24"/>
        </w:rPr>
        <w:t xml:space="preserve"> rámci Lisabonské smlouvy bylo vytvořeno ustanovení o vzájemné obraně, které je klíčovým prvkem SBOP</w:t>
      </w:r>
      <w:r w:rsidR="00986660">
        <w:rPr>
          <w:rFonts w:ascii="Times New Roman" w:hAnsi="Times New Roman"/>
          <w:sz w:val="24"/>
          <w:szCs w:val="24"/>
        </w:rPr>
        <w:t>. Z</w:t>
      </w:r>
      <w:r w:rsidRPr="00B818EF">
        <w:rPr>
          <w:rFonts w:ascii="Times New Roman" w:hAnsi="Times New Roman"/>
          <w:sz w:val="24"/>
          <w:szCs w:val="24"/>
        </w:rPr>
        <w:t>emě EU přijmou opatření s cílem zlepšit své vojenské schopnosti</w:t>
      </w:r>
      <w:r w:rsidR="00986660">
        <w:rPr>
          <w:rFonts w:ascii="Times New Roman" w:hAnsi="Times New Roman"/>
          <w:sz w:val="24"/>
          <w:szCs w:val="24"/>
        </w:rPr>
        <w:t xml:space="preserve">; </w:t>
      </w:r>
      <w:r w:rsidRPr="00B818EF">
        <w:rPr>
          <w:rFonts w:ascii="Times New Roman" w:hAnsi="Times New Roman"/>
          <w:sz w:val="24"/>
          <w:szCs w:val="24"/>
        </w:rPr>
        <w:t>EDA je orgánem, který pomáhá podporou těchto opatření</w:t>
      </w:r>
      <w:r w:rsidR="00986660">
        <w:rPr>
          <w:rFonts w:ascii="Times New Roman" w:hAnsi="Times New Roman"/>
          <w:sz w:val="24"/>
          <w:szCs w:val="24"/>
        </w:rPr>
        <w:t>.</w:t>
      </w:r>
    </w:p>
    <w:p w:rsidR="00B818EF" w:rsidRDefault="00986660" w:rsidP="00B818EF">
      <w:pPr>
        <w:jc w:val="both"/>
        <w:rPr>
          <w:rFonts w:ascii="Times New Roman" w:hAnsi="Times New Roman"/>
          <w:sz w:val="24"/>
          <w:szCs w:val="24"/>
        </w:rPr>
      </w:pPr>
      <w:r w:rsidRPr="00986660">
        <w:rPr>
          <w:rFonts w:ascii="Times New Roman" w:hAnsi="Times New Roman"/>
          <w:b/>
          <w:bCs/>
          <w:sz w:val="24"/>
          <w:szCs w:val="24"/>
        </w:rPr>
        <w:t>S</w:t>
      </w:r>
      <w:r w:rsidR="00B818EF" w:rsidRPr="00B818EF">
        <w:rPr>
          <w:rFonts w:ascii="Times New Roman" w:hAnsi="Times New Roman"/>
          <w:b/>
          <w:bCs/>
          <w:sz w:val="24"/>
          <w:szCs w:val="24"/>
        </w:rPr>
        <w:t>tálá strukturovaná spolupráce v oblasti obrany (PSCD)</w:t>
      </w:r>
      <w:r>
        <w:rPr>
          <w:rFonts w:ascii="Times New Roman" w:hAnsi="Times New Roman"/>
          <w:sz w:val="24"/>
          <w:szCs w:val="24"/>
        </w:rPr>
        <w:t xml:space="preserve">, </w:t>
      </w:r>
      <w:r w:rsidR="00B818EF" w:rsidRPr="00B818EF">
        <w:rPr>
          <w:rFonts w:ascii="Times New Roman" w:hAnsi="Times New Roman"/>
          <w:sz w:val="24"/>
          <w:szCs w:val="24"/>
        </w:rPr>
        <w:t>také přidaná do Lisabonské smlouvy články 42 a 46 Smlouvy o Evropské unii</w:t>
      </w:r>
      <w:r>
        <w:rPr>
          <w:rFonts w:ascii="Times New Roman" w:hAnsi="Times New Roman"/>
          <w:sz w:val="24"/>
          <w:szCs w:val="24"/>
        </w:rPr>
        <w:t>,</w:t>
      </w:r>
      <w:r w:rsidR="00B818EF" w:rsidRPr="00B818EF">
        <w:rPr>
          <w:rFonts w:ascii="Times New Roman" w:hAnsi="Times New Roman"/>
          <w:sz w:val="24"/>
          <w:szCs w:val="24"/>
        </w:rPr>
        <w:t xml:space="preserve"> označuje hlubší formu spolupráce mezi zeměmi EU</w:t>
      </w:r>
      <w:r>
        <w:rPr>
          <w:rFonts w:ascii="Times New Roman" w:hAnsi="Times New Roman"/>
          <w:sz w:val="24"/>
          <w:szCs w:val="24"/>
        </w:rPr>
        <w:t>. Z</w:t>
      </w:r>
      <w:r w:rsidR="00B818EF" w:rsidRPr="00B818EF">
        <w:rPr>
          <w:rFonts w:ascii="Times New Roman" w:hAnsi="Times New Roman"/>
          <w:sz w:val="24"/>
          <w:szCs w:val="24"/>
        </w:rPr>
        <w:t>emě EU se zavazují intenzivněji rozvíjet své obranné kapacity a poskytovat bojové jednotky pro plánované mise</w:t>
      </w:r>
      <w:r>
        <w:rPr>
          <w:rFonts w:ascii="Times New Roman" w:hAnsi="Times New Roman"/>
          <w:sz w:val="24"/>
          <w:szCs w:val="24"/>
        </w:rPr>
        <w:t xml:space="preserve">. </w:t>
      </w:r>
      <w:r w:rsidR="00B818EF" w:rsidRPr="00B818EF">
        <w:rPr>
          <w:rFonts w:ascii="Times New Roman" w:hAnsi="Times New Roman"/>
          <w:sz w:val="24"/>
          <w:szCs w:val="24"/>
        </w:rPr>
        <w:t>EU může využívat civilní i vojenské prostředky mimo EU pro udržování míru, předcházení konfliktům a posilování mezinárodní bezpečnosti</w:t>
      </w:r>
      <w:r w:rsidR="00B818EF">
        <w:rPr>
          <w:rFonts w:ascii="Times New Roman" w:hAnsi="Times New Roman"/>
          <w:sz w:val="24"/>
          <w:szCs w:val="24"/>
        </w:rPr>
        <w:t>.</w:t>
      </w:r>
    </w:p>
    <w:p w:rsidR="00B818EF" w:rsidRPr="00B818EF" w:rsidRDefault="00986660" w:rsidP="009866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Mezi akce</w:t>
      </w:r>
      <w:r w:rsidR="00B818EF" w:rsidRPr="00B818EF">
        <w:rPr>
          <w:rFonts w:ascii="Times New Roman" w:hAnsi="Times New Roman"/>
          <w:b/>
          <w:bCs/>
          <w:sz w:val="24"/>
          <w:szCs w:val="24"/>
        </w:rPr>
        <w:t>,</w:t>
      </w:r>
      <w:r w:rsidR="00B818EF" w:rsidRPr="00B818EF">
        <w:rPr>
          <w:rFonts w:ascii="Times New Roman" w:hAnsi="Times New Roman"/>
          <w:sz w:val="24"/>
          <w:szCs w:val="24"/>
        </w:rPr>
        <w:t xml:space="preserve"> které lze provádět v rámci SBOP</w:t>
      </w:r>
      <w:r>
        <w:rPr>
          <w:rFonts w:ascii="Times New Roman" w:hAnsi="Times New Roman"/>
          <w:sz w:val="24"/>
          <w:szCs w:val="24"/>
        </w:rPr>
        <w:t xml:space="preserve">, patří zejména </w:t>
      </w:r>
      <w:r w:rsidR="00B818EF" w:rsidRPr="00B818EF">
        <w:rPr>
          <w:rFonts w:ascii="Times New Roman" w:hAnsi="Times New Roman"/>
          <w:sz w:val="24"/>
          <w:szCs w:val="24"/>
        </w:rPr>
        <w:t>humanitární a záchranné operace,</w:t>
      </w:r>
      <w:r>
        <w:rPr>
          <w:rFonts w:ascii="Times New Roman" w:hAnsi="Times New Roman"/>
          <w:sz w:val="24"/>
          <w:szCs w:val="24"/>
        </w:rPr>
        <w:t xml:space="preserve"> </w:t>
      </w:r>
      <w:r w:rsidR="00B818EF" w:rsidRPr="00B818EF">
        <w:rPr>
          <w:rFonts w:ascii="Times New Roman" w:hAnsi="Times New Roman"/>
          <w:sz w:val="24"/>
          <w:szCs w:val="24"/>
        </w:rPr>
        <w:t>předcházení konfliktům,</w:t>
      </w:r>
      <w:r>
        <w:rPr>
          <w:rFonts w:ascii="Times New Roman" w:hAnsi="Times New Roman"/>
          <w:sz w:val="24"/>
          <w:szCs w:val="24"/>
        </w:rPr>
        <w:t xml:space="preserve"> </w:t>
      </w:r>
      <w:r w:rsidR="00B818EF" w:rsidRPr="00B818EF">
        <w:rPr>
          <w:rFonts w:ascii="Times New Roman" w:hAnsi="Times New Roman"/>
          <w:sz w:val="24"/>
          <w:szCs w:val="24"/>
        </w:rPr>
        <w:t>úkoly bojových jednotek při řešení krizí,</w:t>
      </w:r>
      <w:r>
        <w:rPr>
          <w:rFonts w:ascii="Times New Roman" w:hAnsi="Times New Roman"/>
          <w:sz w:val="24"/>
          <w:szCs w:val="24"/>
        </w:rPr>
        <w:t xml:space="preserve"> </w:t>
      </w:r>
      <w:r w:rsidR="00B818EF" w:rsidRPr="00B818EF">
        <w:rPr>
          <w:rFonts w:ascii="Times New Roman" w:hAnsi="Times New Roman"/>
          <w:sz w:val="24"/>
          <w:szCs w:val="24"/>
        </w:rPr>
        <w:t>společné operace odzbrojování,</w:t>
      </w:r>
      <w:r>
        <w:rPr>
          <w:rFonts w:ascii="Times New Roman" w:hAnsi="Times New Roman"/>
          <w:sz w:val="24"/>
          <w:szCs w:val="24"/>
        </w:rPr>
        <w:t xml:space="preserve"> </w:t>
      </w:r>
      <w:r w:rsidR="00B818EF" w:rsidRPr="00B818EF">
        <w:rPr>
          <w:rFonts w:ascii="Times New Roman" w:hAnsi="Times New Roman"/>
          <w:sz w:val="24"/>
          <w:szCs w:val="24"/>
        </w:rPr>
        <w:t>poradenství ve vojenských otázkách a poskytování pomoci a</w:t>
      </w:r>
      <w:r>
        <w:rPr>
          <w:rFonts w:ascii="Times New Roman" w:hAnsi="Times New Roman"/>
          <w:sz w:val="24"/>
          <w:szCs w:val="24"/>
        </w:rPr>
        <w:t xml:space="preserve"> </w:t>
      </w:r>
      <w:r w:rsidR="00B818EF" w:rsidRPr="00B818EF">
        <w:rPr>
          <w:rFonts w:ascii="Times New Roman" w:hAnsi="Times New Roman"/>
          <w:sz w:val="24"/>
          <w:szCs w:val="24"/>
        </w:rPr>
        <w:t>úkoly při stabilizaci situace po ukončení konfliktu.</w:t>
      </w:r>
    </w:p>
    <w:p w:rsidR="00B818EF" w:rsidRDefault="00B818EF" w:rsidP="00986660">
      <w:pPr>
        <w:jc w:val="both"/>
        <w:rPr>
          <w:rFonts w:ascii="Times New Roman" w:hAnsi="Times New Roman"/>
          <w:sz w:val="24"/>
          <w:szCs w:val="24"/>
        </w:rPr>
      </w:pPr>
      <w:r w:rsidRPr="00B818EF">
        <w:rPr>
          <w:rFonts w:ascii="Times New Roman" w:hAnsi="Times New Roman"/>
          <w:sz w:val="24"/>
          <w:szCs w:val="24"/>
        </w:rPr>
        <w:t xml:space="preserve">zdroj: </w:t>
      </w:r>
      <w:hyperlink r:id="rId9" w:history="1">
        <w:r w:rsidRPr="00B818EF">
          <w:rPr>
            <w:rStyle w:val="Hypertextovodkaz"/>
            <w:rFonts w:ascii="Times New Roman" w:hAnsi="Times New Roman"/>
            <w:sz w:val="24"/>
            <w:szCs w:val="24"/>
          </w:rPr>
          <w:t>https://eur-lex.europa.eu/legal-content/CS/TXT/?uri=legissum:ai0026</w:t>
        </w:r>
      </w:hyperlink>
    </w:p>
    <w:p w:rsidR="00B818EF" w:rsidRPr="00B818EF" w:rsidRDefault="00B818EF" w:rsidP="00986660">
      <w:pPr>
        <w:jc w:val="both"/>
        <w:rPr>
          <w:rFonts w:ascii="Times New Roman" w:hAnsi="Times New Roman"/>
          <w:sz w:val="24"/>
          <w:szCs w:val="24"/>
        </w:rPr>
      </w:pPr>
      <w:r w:rsidRPr="00B818EF">
        <w:rPr>
          <w:rFonts w:ascii="Times New Roman" w:hAnsi="Times New Roman"/>
          <w:sz w:val="24"/>
          <w:szCs w:val="24"/>
        </w:rPr>
        <w:t>SBOP je</w:t>
      </w:r>
      <w:r w:rsidR="00986660">
        <w:rPr>
          <w:rFonts w:ascii="Times New Roman" w:hAnsi="Times New Roman"/>
          <w:sz w:val="24"/>
          <w:szCs w:val="24"/>
        </w:rPr>
        <w:t>, jak již bylo uvedeno výše,</w:t>
      </w:r>
      <w:r w:rsidRPr="00B818EF">
        <w:rPr>
          <w:rFonts w:ascii="Times New Roman" w:hAnsi="Times New Roman"/>
          <w:sz w:val="24"/>
          <w:szCs w:val="24"/>
        </w:rPr>
        <w:t xml:space="preserve"> nedílnou součástí SZBP.</w:t>
      </w:r>
      <w:r w:rsidR="00986660">
        <w:rPr>
          <w:rFonts w:ascii="Times New Roman" w:hAnsi="Times New Roman"/>
          <w:sz w:val="24"/>
          <w:szCs w:val="24"/>
        </w:rPr>
        <w:t xml:space="preserve"> </w:t>
      </w:r>
      <w:r w:rsidRPr="00B818EF">
        <w:rPr>
          <w:rFonts w:ascii="Times New Roman" w:hAnsi="Times New Roman"/>
          <w:sz w:val="24"/>
          <w:szCs w:val="24"/>
        </w:rPr>
        <w:t>Rámec SBOP je stanoven Smlouvou o Evropské unii (SEU). Článek 41 nastiňuje</w:t>
      </w:r>
      <w:r w:rsidR="00986660">
        <w:rPr>
          <w:rFonts w:ascii="Times New Roman" w:hAnsi="Times New Roman"/>
          <w:sz w:val="24"/>
          <w:szCs w:val="24"/>
        </w:rPr>
        <w:t xml:space="preserve"> </w:t>
      </w:r>
      <w:r w:rsidRPr="00B818EF">
        <w:rPr>
          <w:rFonts w:ascii="Times New Roman" w:hAnsi="Times New Roman"/>
          <w:sz w:val="24"/>
          <w:szCs w:val="24"/>
        </w:rPr>
        <w:t xml:space="preserve">financování SZBP a SBOP a tato politika je podrobněji popsána v hlavě V oddílu 2 článcích 42 až 46 (Ustanovení o společné bezpečnostní a obranné politice), v protokolech 1, 10 a 11 a v prohlášeních 13 a 14. </w:t>
      </w:r>
    </w:p>
    <w:p w:rsidR="00B818EF" w:rsidRPr="00B818EF" w:rsidRDefault="00B818EF" w:rsidP="00986660">
      <w:pPr>
        <w:jc w:val="both"/>
        <w:rPr>
          <w:rFonts w:ascii="Times New Roman" w:hAnsi="Times New Roman"/>
          <w:sz w:val="24"/>
          <w:szCs w:val="24"/>
        </w:rPr>
      </w:pPr>
      <w:r w:rsidRPr="00B818EF">
        <w:rPr>
          <w:rFonts w:ascii="Times New Roman" w:hAnsi="Times New Roman"/>
          <w:sz w:val="24"/>
          <w:szCs w:val="24"/>
        </w:rPr>
        <w:t>Rozhodnutí týkající se SBOP přijímají Evropská rada a Rada Evropské unie (článek 42 Smlouvy o EU). Tato rozhodnutí jsou přijímána jednomyslně, s výjimkou záležitostí týkajících se Evropské obranné agentury (EDA, článek 45 Smlouvy o EU) a stálé strukturované spolupráce (PESCO, článek 46 Smlouvy o EU), kde se hlasuje kvalifikovanou většinou. Návrhy rozhodnutí obvykle předkládá vysoký představitel Unie pro zahraniční věci a bezpečnostní politiku, který rovněž zastává funkci místopředsedy Evropské komise.</w:t>
      </w:r>
    </w:p>
    <w:p w:rsidR="00B818EF" w:rsidRPr="00B818EF" w:rsidRDefault="00B818EF" w:rsidP="00986660">
      <w:pPr>
        <w:jc w:val="both"/>
        <w:rPr>
          <w:rFonts w:ascii="Times New Roman" w:hAnsi="Times New Roman"/>
          <w:sz w:val="24"/>
          <w:szCs w:val="24"/>
        </w:rPr>
      </w:pPr>
      <w:r w:rsidRPr="00B818EF">
        <w:rPr>
          <w:rFonts w:ascii="Times New Roman" w:hAnsi="Times New Roman"/>
          <w:sz w:val="24"/>
          <w:szCs w:val="24"/>
        </w:rPr>
        <w:t xml:space="preserve">Lisabonská smlouva zavedla pojem evropské politiky schopností a vyzbrojování (čl. 42 odst. 3 Smlouvy o EU) a propojila SBOP a další politiky Unie stanovením požadavku, aby agentura EDA a Komise v případě potřeby spolupracovaly (čl. 45 odst. 2 Smlouvy o EU).  </w:t>
      </w:r>
    </w:p>
    <w:p w:rsidR="00B818EF" w:rsidRDefault="00B818EF" w:rsidP="00986660">
      <w:pPr>
        <w:jc w:val="both"/>
        <w:rPr>
          <w:rFonts w:ascii="Times New Roman" w:hAnsi="Times New Roman"/>
          <w:sz w:val="24"/>
          <w:szCs w:val="24"/>
        </w:rPr>
      </w:pPr>
      <w:r w:rsidRPr="00B818EF">
        <w:rPr>
          <w:rFonts w:ascii="Times New Roman" w:hAnsi="Times New Roman"/>
          <w:sz w:val="24"/>
          <w:szCs w:val="24"/>
        </w:rPr>
        <w:t>Zdroj:</w:t>
      </w:r>
      <w:r w:rsidR="00986660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B818EF">
          <w:rPr>
            <w:rStyle w:val="Hypertextovodkaz"/>
            <w:rFonts w:ascii="Times New Roman" w:hAnsi="Times New Roman"/>
            <w:sz w:val="24"/>
            <w:szCs w:val="24"/>
          </w:rPr>
          <w:t>https://www.europarl.europa.eu/factsheets/cs/sheet/159/spolecna-bezpecnostni-a-obranna-politika</w:t>
        </w:r>
      </w:hyperlink>
    </w:p>
    <w:p w:rsidR="00B818EF" w:rsidRPr="00986660" w:rsidRDefault="00B818EF" w:rsidP="00B818EF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GoBack"/>
      <w:bookmarkEnd w:id="1"/>
      <w:r w:rsidRPr="00986660">
        <w:rPr>
          <w:rFonts w:ascii="Times New Roman" w:hAnsi="Times New Roman"/>
          <w:b/>
          <w:bCs/>
          <w:sz w:val="24"/>
          <w:szCs w:val="24"/>
        </w:rPr>
        <w:t>4. Aktuální otázky bezpečnosti Evropské unie</w:t>
      </w:r>
    </w:p>
    <w:p w:rsidR="00986660" w:rsidRDefault="00986660" w:rsidP="009866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Mezi aktuální otázky, resp. výzvy, před kterými EU stojí, patří zejména</w:t>
      </w:r>
    </w:p>
    <w:p w:rsidR="00986660" w:rsidRDefault="00B818EF" w:rsidP="00986660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B818EF">
        <w:rPr>
          <w:rFonts w:ascii="Times New Roman" w:hAnsi="Times New Roman"/>
          <w:sz w:val="24"/>
          <w:szCs w:val="24"/>
        </w:rPr>
        <w:t xml:space="preserve">kyberterorismus, </w:t>
      </w:r>
    </w:p>
    <w:p w:rsidR="00986660" w:rsidRDefault="00B818EF" w:rsidP="00986660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B818EF">
        <w:rPr>
          <w:rFonts w:ascii="Times New Roman" w:hAnsi="Times New Roman"/>
          <w:sz w:val="24"/>
          <w:szCs w:val="24"/>
        </w:rPr>
        <w:lastRenderedPageBreak/>
        <w:t>informační válka</w:t>
      </w:r>
      <w:r w:rsidR="00986660">
        <w:rPr>
          <w:rFonts w:ascii="Times New Roman" w:hAnsi="Times New Roman"/>
          <w:sz w:val="24"/>
          <w:szCs w:val="24"/>
        </w:rPr>
        <w:t>,</w:t>
      </w:r>
    </w:p>
    <w:p w:rsidR="00B818EF" w:rsidRPr="00B818EF" w:rsidRDefault="00B818EF" w:rsidP="00986660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B818EF">
        <w:rPr>
          <w:rFonts w:ascii="Times New Roman" w:hAnsi="Times New Roman"/>
          <w:sz w:val="24"/>
          <w:szCs w:val="24"/>
        </w:rPr>
        <w:t>energetická politika</w:t>
      </w:r>
      <w:r w:rsidR="00986660">
        <w:rPr>
          <w:rFonts w:ascii="Times New Roman" w:hAnsi="Times New Roman"/>
          <w:sz w:val="24"/>
          <w:szCs w:val="24"/>
        </w:rPr>
        <w:t>,</w:t>
      </w:r>
    </w:p>
    <w:p w:rsidR="00986660" w:rsidRDefault="00B818EF" w:rsidP="00B818EF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B818EF">
        <w:rPr>
          <w:rFonts w:ascii="Times New Roman" w:hAnsi="Times New Roman"/>
          <w:sz w:val="24"/>
          <w:szCs w:val="24"/>
          <w:lang w:val="pt-BR"/>
        </w:rPr>
        <w:t>rozrůst</w:t>
      </w:r>
      <w:r w:rsidRPr="00B818EF">
        <w:rPr>
          <w:rFonts w:ascii="Times New Roman" w:hAnsi="Times New Roman"/>
          <w:sz w:val="24"/>
          <w:szCs w:val="24"/>
        </w:rPr>
        <w:t>án</w:t>
      </w:r>
      <w:r w:rsidRPr="00B818EF">
        <w:rPr>
          <w:rFonts w:ascii="Times New Roman" w:hAnsi="Times New Roman"/>
          <w:sz w:val="24"/>
          <w:szCs w:val="24"/>
          <w:lang w:val="pt-BR"/>
        </w:rPr>
        <w:t>í teroristick</w:t>
      </w:r>
      <w:r w:rsidRPr="00B818EF">
        <w:rPr>
          <w:rFonts w:ascii="Times New Roman" w:hAnsi="Times New Roman"/>
          <w:sz w:val="24"/>
          <w:szCs w:val="24"/>
        </w:rPr>
        <w:t xml:space="preserve">ých </w:t>
      </w:r>
      <w:r w:rsidRPr="00B818EF">
        <w:rPr>
          <w:rFonts w:ascii="Times New Roman" w:hAnsi="Times New Roman"/>
          <w:sz w:val="24"/>
          <w:szCs w:val="24"/>
          <w:lang w:val="pt-BR"/>
        </w:rPr>
        <w:t>a zločineck</w:t>
      </w:r>
      <w:r w:rsidRPr="00B818EF">
        <w:rPr>
          <w:rFonts w:ascii="Times New Roman" w:hAnsi="Times New Roman"/>
          <w:sz w:val="24"/>
          <w:szCs w:val="24"/>
        </w:rPr>
        <w:t>ých</w:t>
      </w:r>
      <w:r w:rsidRPr="00B818EF">
        <w:rPr>
          <w:rFonts w:ascii="Times New Roman" w:hAnsi="Times New Roman"/>
          <w:sz w:val="24"/>
          <w:szCs w:val="24"/>
          <w:lang w:val="pt-BR"/>
        </w:rPr>
        <w:t xml:space="preserve"> organizac</w:t>
      </w:r>
      <w:r w:rsidRPr="00B818EF">
        <w:rPr>
          <w:rFonts w:ascii="Times New Roman" w:hAnsi="Times New Roman"/>
          <w:sz w:val="24"/>
          <w:szCs w:val="24"/>
        </w:rPr>
        <w:t>í</w:t>
      </w:r>
      <w:r w:rsidR="00986660">
        <w:rPr>
          <w:rFonts w:ascii="Times New Roman" w:hAnsi="Times New Roman"/>
          <w:sz w:val="24"/>
          <w:szCs w:val="24"/>
        </w:rPr>
        <w:t>,</w:t>
      </w:r>
      <w:r w:rsidR="00986660" w:rsidRPr="00B818EF">
        <w:rPr>
          <w:rFonts w:ascii="Times New Roman" w:hAnsi="Times New Roman"/>
          <w:sz w:val="24"/>
          <w:szCs w:val="24"/>
        </w:rPr>
        <w:t xml:space="preserve"> </w:t>
      </w:r>
    </w:p>
    <w:p w:rsidR="00B818EF" w:rsidRPr="00B818EF" w:rsidRDefault="00B818EF" w:rsidP="00B818EF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B818EF">
        <w:rPr>
          <w:rFonts w:ascii="Times New Roman" w:hAnsi="Times New Roman"/>
          <w:sz w:val="24"/>
          <w:szCs w:val="24"/>
        </w:rPr>
        <w:t xml:space="preserve">velmi nestálé </w:t>
      </w:r>
      <w:r w:rsidR="00986660">
        <w:rPr>
          <w:rFonts w:ascii="Times New Roman" w:hAnsi="Times New Roman"/>
          <w:sz w:val="24"/>
          <w:szCs w:val="24"/>
        </w:rPr>
        <w:t>b</w:t>
      </w:r>
      <w:r w:rsidRPr="00B818EF">
        <w:rPr>
          <w:rFonts w:ascii="Times New Roman" w:hAnsi="Times New Roman"/>
          <w:sz w:val="24"/>
          <w:szCs w:val="24"/>
        </w:rPr>
        <w:t xml:space="preserve">ezpečnostní prostředí v sousedství EU, </w:t>
      </w:r>
    </w:p>
    <w:p w:rsidR="00B818EF" w:rsidRPr="00B818EF" w:rsidRDefault="00B818EF" w:rsidP="00B818EF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B818EF">
        <w:rPr>
          <w:rFonts w:ascii="Times New Roman" w:hAnsi="Times New Roman"/>
          <w:sz w:val="24"/>
          <w:szCs w:val="24"/>
        </w:rPr>
        <w:t>migrační krize na jižních a jihovýchodních hranicích EU</w:t>
      </w:r>
      <w:r w:rsidR="00986660">
        <w:rPr>
          <w:rFonts w:ascii="Times New Roman" w:hAnsi="Times New Roman"/>
          <w:sz w:val="24"/>
          <w:szCs w:val="24"/>
        </w:rPr>
        <w:t>,</w:t>
      </w:r>
    </w:p>
    <w:p w:rsidR="00986660" w:rsidRDefault="00B818EF" w:rsidP="00B818EF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B818EF">
        <w:rPr>
          <w:rFonts w:ascii="Times New Roman" w:hAnsi="Times New Roman"/>
          <w:sz w:val="24"/>
          <w:szCs w:val="24"/>
        </w:rPr>
        <w:t>brexit</w:t>
      </w:r>
      <w:r w:rsidR="00986660">
        <w:rPr>
          <w:rFonts w:ascii="Times New Roman" w:hAnsi="Times New Roman"/>
          <w:sz w:val="24"/>
          <w:szCs w:val="24"/>
        </w:rPr>
        <w:t>,</w:t>
      </w:r>
    </w:p>
    <w:p w:rsidR="00B818EF" w:rsidRDefault="00B818EF" w:rsidP="00B818EF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B818EF">
        <w:rPr>
          <w:rFonts w:ascii="Times New Roman" w:hAnsi="Times New Roman"/>
          <w:sz w:val="24"/>
          <w:szCs w:val="24"/>
        </w:rPr>
        <w:t>nejistota vyvolaná novou americkou vládou</w:t>
      </w:r>
      <w:r w:rsidR="00986660">
        <w:rPr>
          <w:rFonts w:ascii="Times New Roman" w:hAnsi="Times New Roman"/>
          <w:sz w:val="24"/>
          <w:szCs w:val="24"/>
        </w:rPr>
        <w:t>.</w:t>
      </w:r>
    </w:p>
    <w:p w:rsidR="00B818EF" w:rsidRPr="00B818EF" w:rsidRDefault="003274DE" w:rsidP="009866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Zdroj: </w:t>
      </w:r>
      <w:hyperlink r:id="rId11" w:history="1">
        <w:r w:rsidRPr="003274DE">
          <w:rPr>
            <w:rStyle w:val="Hypertextovodkaz"/>
            <w:rFonts w:ascii="Times New Roman" w:hAnsi="Times New Roman"/>
          </w:rPr>
          <w:t>https://www.eppgroup.eu/cs/zpravodajstvi/publikace/bezpecnost-pro-eu-a-jeji-obcany-vstric-evropske-obranne-unii</w:t>
        </w:r>
      </w:hyperlink>
      <w:r>
        <w:t xml:space="preserve"> </w:t>
      </w:r>
    </w:p>
    <w:p w:rsidR="00B818EF" w:rsidRPr="005C68A0" w:rsidRDefault="00B818EF" w:rsidP="00B818E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C68A0">
        <w:rPr>
          <w:rFonts w:ascii="Times New Roman" w:hAnsi="Times New Roman"/>
          <w:b/>
          <w:bCs/>
          <w:sz w:val="24"/>
          <w:szCs w:val="24"/>
        </w:rPr>
        <w:t>Závěr</w:t>
      </w:r>
    </w:p>
    <w:p w:rsidR="00B818EF" w:rsidRPr="00B818EF" w:rsidRDefault="00B818EF" w:rsidP="003274DE">
      <w:pPr>
        <w:jc w:val="both"/>
        <w:rPr>
          <w:rFonts w:ascii="Times New Roman" w:hAnsi="Times New Roman"/>
          <w:sz w:val="24"/>
          <w:szCs w:val="24"/>
        </w:rPr>
      </w:pPr>
      <w:r w:rsidRPr="00B818EF">
        <w:rPr>
          <w:rFonts w:ascii="Times New Roman" w:hAnsi="Times New Roman"/>
          <w:sz w:val="24"/>
          <w:szCs w:val="24"/>
        </w:rPr>
        <w:t>EU se primárně zaměřuje na jiná témata než na obranu. Společná bezpečnostní a obranná politika je nedílnou součástí společné zahraniční a bezpečnostní politiky EU. Společná bezpečnostní a obranná politika je upravena ve Smlouvě o EU a zajišťuje operativní schopnost EU. Opírá se o civilní a vojenské prostředky, a to jak bojové, tak nebojové povahy.</w:t>
      </w:r>
      <w:r w:rsidR="003274DE">
        <w:rPr>
          <w:rFonts w:ascii="Times New Roman" w:hAnsi="Times New Roman"/>
          <w:sz w:val="24"/>
          <w:szCs w:val="24"/>
        </w:rPr>
        <w:t xml:space="preserve"> </w:t>
      </w:r>
      <w:r w:rsidRPr="00B818EF">
        <w:rPr>
          <w:rFonts w:ascii="Times New Roman" w:hAnsi="Times New Roman"/>
          <w:sz w:val="24"/>
          <w:szCs w:val="24"/>
        </w:rPr>
        <w:t>Současný svět a moderní hrozby (např. kybernetické útoky), však EU nutí ke zvážení stávající situace a možnosti změn.</w:t>
      </w:r>
    </w:p>
    <w:p w:rsidR="00B818EF" w:rsidRPr="00B818EF" w:rsidRDefault="00B818EF" w:rsidP="00B818EF">
      <w:pPr>
        <w:jc w:val="both"/>
        <w:rPr>
          <w:rFonts w:ascii="Times New Roman" w:hAnsi="Times New Roman"/>
          <w:sz w:val="24"/>
          <w:szCs w:val="24"/>
        </w:rPr>
      </w:pPr>
    </w:p>
    <w:p w:rsidR="00B818EF" w:rsidRPr="00B818EF" w:rsidRDefault="00B818EF" w:rsidP="00B818EF">
      <w:pPr>
        <w:jc w:val="both"/>
        <w:rPr>
          <w:rFonts w:ascii="Times New Roman" w:hAnsi="Times New Roman"/>
          <w:sz w:val="24"/>
          <w:szCs w:val="24"/>
        </w:rPr>
      </w:pPr>
    </w:p>
    <w:p w:rsidR="00B46F0C" w:rsidRPr="00B46F0C" w:rsidRDefault="00B46F0C" w:rsidP="00B818EF">
      <w:pPr>
        <w:jc w:val="both"/>
        <w:rPr>
          <w:rFonts w:ascii="Times New Roman" w:hAnsi="Times New Roman"/>
          <w:sz w:val="24"/>
          <w:szCs w:val="24"/>
        </w:rPr>
      </w:pPr>
    </w:p>
    <w:p w:rsidR="00B46F0C" w:rsidRPr="00B46F0C" w:rsidRDefault="00B46F0C" w:rsidP="00B46F0C">
      <w:pPr>
        <w:jc w:val="both"/>
        <w:rPr>
          <w:rFonts w:ascii="Times New Roman" w:hAnsi="Times New Roman"/>
          <w:sz w:val="24"/>
          <w:szCs w:val="24"/>
        </w:rPr>
      </w:pPr>
    </w:p>
    <w:p w:rsidR="00B46F0C" w:rsidRPr="009F0088" w:rsidRDefault="00B46F0C" w:rsidP="00B46F0C">
      <w:pPr>
        <w:jc w:val="both"/>
        <w:rPr>
          <w:rFonts w:ascii="Times New Roman" w:hAnsi="Times New Roman"/>
          <w:sz w:val="24"/>
          <w:szCs w:val="24"/>
        </w:rPr>
      </w:pPr>
    </w:p>
    <w:sectPr w:rsidR="00B46F0C" w:rsidRPr="009F0088" w:rsidSect="00E62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889" w:rsidRDefault="00000889" w:rsidP="00AD5A85">
      <w:pPr>
        <w:spacing w:after="0" w:line="240" w:lineRule="auto"/>
      </w:pPr>
      <w:r>
        <w:separator/>
      </w:r>
    </w:p>
  </w:endnote>
  <w:endnote w:type="continuationSeparator" w:id="0">
    <w:p w:rsidR="00000889" w:rsidRDefault="00000889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0008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C20" w:rsidRDefault="00511C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57C" w:rsidRDefault="000008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889" w:rsidRDefault="00000889" w:rsidP="00AD5A85">
      <w:pPr>
        <w:spacing w:after="0" w:line="240" w:lineRule="auto"/>
      </w:pPr>
      <w:r>
        <w:separator/>
      </w:r>
    </w:p>
  </w:footnote>
  <w:footnote w:type="continuationSeparator" w:id="0">
    <w:p w:rsidR="00000889" w:rsidRDefault="00000889" w:rsidP="00AD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C20" w:rsidRDefault="00511C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C20" w:rsidRDefault="00511C2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C20" w:rsidRDefault="00511C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22B2"/>
    <w:multiLevelType w:val="hybridMultilevel"/>
    <w:tmpl w:val="8ADED840"/>
    <w:lvl w:ilvl="0" w:tplc="C3C87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0D5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CD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4C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24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01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30C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21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D42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FB4789"/>
    <w:multiLevelType w:val="hybridMultilevel"/>
    <w:tmpl w:val="4BC66BF0"/>
    <w:lvl w:ilvl="0" w:tplc="5678B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64ADF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A354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F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D47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80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04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FCD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C8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3B4889"/>
    <w:multiLevelType w:val="hybridMultilevel"/>
    <w:tmpl w:val="ADC84434"/>
    <w:lvl w:ilvl="0" w:tplc="64326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620A"/>
    <w:multiLevelType w:val="hybridMultilevel"/>
    <w:tmpl w:val="D88E53E6"/>
    <w:lvl w:ilvl="0" w:tplc="219CE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E39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860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22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EB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09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501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07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4B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BD1549"/>
    <w:multiLevelType w:val="hybridMultilevel"/>
    <w:tmpl w:val="AA52B6F6"/>
    <w:lvl w:ilvl="0" w:tplc="8104E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467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7C2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C4A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8E6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49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F44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AF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AA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B040F6"/>
    <w:multiLevelType w:val="hybridMultilevel"/>
    <w:tmpl w:val="ADAC27F2"/>
    <w:lvl w:ilvl="0" w:tplc="ECB46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C7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CC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F43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A2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2B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F27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E84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AD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EC752D"/>
    <w:multiLevelType w:val="hybridMultilevel"/>
    <w:tmpl w:val="34646264"/>
    <w:lvl w:ilvl="0" w:tplc="0B9CA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65B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90B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A6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A8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8D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525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3CA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05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F1340F"/>
    <w:multiLevelType w:val="hybridMultilevel"/>
    <w:tmpl w:val="DCE8696E"/>
    <w:lvl w:ilvl="0" w:tplc="2194A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26E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22C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89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722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BA3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A9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EC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9E7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8E08AC"/>
    <w:multiLevelType w:val="hybridMultilevel"/>
    <w:tmpl w:val="A4109F90"/>
    <w:lvl w:ilvl="0" w:tplc="C212A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A3EC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8A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E3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2CA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CEA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2A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22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A1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D324F3"/>
    <w:multiLevelType w:val="hybridMultilevel"/>
    <w:tmpl w:val="6D6A138C"/>
    <w:lvl w:ilvl="0" w:tplc="60C03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478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05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A7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888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640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26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8A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144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75036DB"/>
    <w:multiLevelType w:val="hybridMultilevel"/>
    <w:tmpl w:val="48FC755A"/>
    <w:lvl w:ilvl="0" w:tplc="9FF4D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84F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06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8F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06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81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E2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0CA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16E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8A600FE"/>
    <w:multiLevelType w:val="hybridMultilevel"/>
    <w:tmpl w:val="885C92F6"/>
    <w:lvl w:ilvl="0" w:tplc="73F61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187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14B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CA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07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DC6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A6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E1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05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CBC3B18"/>
    <w:multiLevelType w:val="multilevel"/>
    <w:tmpl w:val="7B4A2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393536"/>
    <w:multiLevelType w:val="hybridMultilevel"/>
    <w:tmpl w:val="452AEF3E"/>
    <w:lvl w:ilvl="0" w:tplc="B8DA3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029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E0EB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449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EF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BA0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C7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EB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E7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576146F"/>
    <w:multiLevelType w:val="hybridMultilevel"/>
    <w:tmpl w:val="0F0817F6"/>
    <w:lvl w:ilvl="0" w:tplc="9E604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6CB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4B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A3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C3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23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F8D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8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26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7803B6A"/>
    <w:multiLevelType w:val="hybridMultilevel"/>
    <w:tmpl w:val="394A46CC"/>
    <w:lvl w:ilvl="0" w:tplc="615C9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A2A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687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AA6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04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E1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60F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C3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D42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2D4C9F"/>
    <w:multiLevelType w:val="hybridMultilevel"/>
    <w:tmpl w:val="8F9A6A8C"/>
    <w:lvl w:ilvl="0" w:tplc="FFA02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82EC4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E43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24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B24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88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286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122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B23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9B368D4"/>
    <w:multiLevelType w:val="hybridMultilevel"/>
    <w:tmpl w:val="BCBE79C4"/>
    <w:lvl w:ilvl="0" w:tplc="DED8B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C8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482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49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0E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885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38D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87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4B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CE469AC"/>
    <w:multiLevelType w:val="hybridMultilevel"/>
    <w:tmpl w:val="76FE5B24"/>
    <w:lvl w:ilvl="0" w:tplc="10B2E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7C6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60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509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87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2B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CE1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12E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6F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52E6A81"/>
    <w:multiLevelType w:val="hybridMultilevel"/>
    <w:tmpl w:val="65C481EA"/>
    <w:lvl w:ilvl="0" w:tplc="68982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7EF9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06B2C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302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0C5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E7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D47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64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FC3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748079D"/>
    <w:multiLevelType w:val="hybridMultilevel"/>
    <w:tmpl w:val="7A160438"/>
    <w:lvl w:ilvl="0" w:tplc="453EF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C4F5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6FC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E7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0E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F4E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47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32E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2C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BA740E3"/>
    <w:multiLevelType w:val="hybridMultilevel"/>
    <w:tmpl w:val="E702F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57E14"/>
    <w:multiLevelType w:val="hybridMultilevel"/>
    <w:tmpl w:val="229646B8"/>
    <w:lvl w:ilvl="0" w:tplc="5BDE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DA29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E6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48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09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4D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501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F8E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085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DE253B0"/>
    <w:multiLevelType w:val="hybridMultilevel"/>
    <w:tmpl w:val="9272BB1E"/>
    <w:lvl w:ilvl="0" w:tplc="11BA5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EE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62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C4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348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87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921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87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AAA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FEF00C3"/>
    <w:multiLevelType w:val="hybridMultilevel"/>
    <w:tmpl w:val="E7400A9E"/>
    <w:lvl w:ilvl="0" w:tplc="ADDEB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D422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C7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3A7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CF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69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E4B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2D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27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CE24A6F"/>
    <w:multiLevelType w:val="hybridMultilevel"/>
    <w:tmpl w:val="8A3EDF04"/>
    <w:lvl w:ilvl="0" w:tplc="1C52D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8B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2A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BE4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E1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61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E49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FCD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EC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8"/>
  </w:num>
  <w:num w:numId="5">
    <w:abstractNumId w:val="22"/>
  </w:num>
  <w:num w:numId="6">
    <w:abstractNumId w:val="6"/>
  </w:num>
  <w:num w:numId="7">
    <w:abstractNumId w:val="24"/>
  </w:num>
  <w:num w:numId="8">
    <w:abstractNumId w:val="20"/>
  </w:num>
  <w:num w:numId="9">
    <w:abstractNumId w:val="1"/>
  </w:num>
  <w:num w:numId="10">
    <w:abstractNumId w:val="19"/>
  </w:num>
  <w:num w:numId="11">
    <w:abstractNumId w:val="3"/>
  </w:num>
  <w:num w:numId="12">
    <w:abstractNumId w:val="13"/>
  </w:num>
  <w:num w:numId="13">
    <w:abstractNumId w:val="9"/>
  </w:num>
  <w:num w:numId="14">
    <w:abstractNumId w:val="16"/>
  </w:num>
  <w:num w:numId="15">
    <w:abstractNumId w:val="0"/>
  </w:num>
  <w:num w:numId="16">
    <w:abstractNumId w:val="18"/>
  </w:num>
  <w:num w:numId="17">
    <w:abstractNumId w:val="25"/>
  </w:num>
  <w:num w:numId="18">
    <w:abstractNumId w:val="10"/>
  </w:num>
  <w:num w:numId="19">
    <w:abstractNumId w:val="23"/>
  </w:num>
  <w:num w:numId="20">
    <w:abstractNumId w:val="14"/>
  </w:num>
  <w:num w:numId="21">
    <w:abstractNumId w:val="7"/>
  </w:num>
  <w:num w:numId="22">
    <w:abstractNumId w:val="5"/>
  </w:num>
  <w:num w:numId="23">
    <w:abstractNumId w:val="11"/>
  </w:num>
  <w:num w:numId="24">
    <w:abstractNumId w:val="15"/>
  </w:num>
  <w:num w:numId="25">
    <w:abstractNumId w:val="2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EB"/>
    <w:rsid w:val="00000889"/>
    <w:rsid w:val="00090D53"/>
    <w:rsid w:val="00093133"/>
    <w:rsid w:val="000A76D4"/>
    <w:rsid w:val="000B4110"/>
    <w:rsid w:val="000B67BA"/>
    <w:rsid w:val="001414A4"/>
    <w:rsid w:val="0016237A"/>
    <w:rsid w:val="00171349"/>
    <w:rsid w:val="00213505"/>
    <w:rsid w:val="00230C58"/>
    <w:rsid w:val="00236B33"/>
    <w:rsid w:val="002B0E2D"/>
    <w:rsid w:val="002C2BBC"/>
    <w:rsid w:val="002D2E62"/>
    <w:rsid w:val="00311646"/>
    <w:rsid w:val="003274DE"/>
    <w:rsid w:val="00396497"/>
    <w:rsid w:val="003B40FA"/>
    <w:rsid w:val="003D3011"/>
    <w:rsid w:val="003E3AD9"/>
    <w:rsid w:val="003F145B"/>
    <w:rsid w:val="003F22EB"/>
    <w:rsid w:val="004145C2"/>
    <w:rsid w:val="00424E37"/>
    <w:rsid w:val="00483D68"/>
    <w:rsid w:val="00511C20"/>
    <w:rsid w:val="0059235B"/>
    <w:rsid w:val="005C68A0"/>
    <w:rsid w:val="005F77ED"/>
    <w:rsid w:val="00637BA0"/>
    <w:rsid w:val="00791876"/>
    <w:rsid w:val="007B61B6"/>
    <w:rsid w:val="008A434F"/>
    <w:rsid w:val="00955FDF"/>
    <w:rsid w:val="00986660"/>
    <w:rsid w:val="00990BBB"/>
    <w:rsid w:val="00994983"/>
    <w:rsid w:val="009F0088"/>
    <w:rsid w:val="00A01A5E"/>
    <w:rsid w:val="00A60D5F"/>
    <w:rsid w:val="00AA361E"/>
    <w:rsid w:val="00AD5A85"/>
    <w:rsid w:val="00B46F0C"/>
    <w:rsid w:val="00B818EF"/>
    <w:rsid w:val="00BA5764"/>
    <w:rsid w:val="00C700EA"/>
    <w:rsid w:val="00C92714"/>
    <w:rsid w:val="00CC5479"/>
    <w:rsid w:val="00D45B94"/>
    <w:rsid w:val="00DA7ABB"/>
    <w:rsid w:val="00E011B7"/>
    <w:rsid w:val="00E56AB3"/>
    <w:rsid w:val="00E6357A"/>
    <w:rsid w:val="00E8263B"/>
    <w:rsid w:val="00EA4DA2"/>
    <w:rsid w:val="00F51136"/>
    <w:rsid w:val="00F943BB"/>
    <w:rsid w:val="00FA5003"/>
    <w:rsid w:val="00FB7D21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4F5B"/>
  <w15:docId w15:val="{EFEA0C8C-C333-4D34-8769-BA36F6AC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Odstavecseseznamem">
    <w:name w:val="List Paragraph"/>
    <w:basedOn w:val="Normln"/>
    <w:uiPriority w:val="34"/>
    <w:qFormat/>
    <w:rsid w:val="00B46F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18E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81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8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6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3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9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5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10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87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6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39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4924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2649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0960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5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8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4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43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1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82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86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6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9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4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75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1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7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6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4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76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6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8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31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52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1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1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3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4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6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5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1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2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2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30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1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0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9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3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25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4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2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1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4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2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81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9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3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1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6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75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4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6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7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4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0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3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1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8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9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63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7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1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5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5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4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32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6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3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0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8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4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5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0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0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0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42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348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679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535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cr.army.cz/dokumenty-a-legislativa/eu/rozhodovaci-organy-eu-v-ramci-spolecne-zahranicni-a-bezpecnostni-politiky-7406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cr.army.cz/scripts/detail.php?pgid=563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ppgroup.eu/cs/zpravodajstvi/publikace/bezpecnost-pro-eu-a-jeji-obcany-vstric-evropske-obranne-uni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europarl.europa.eu/factsheets/cs/sheet/159/spolecna-bezpecnostni-a-obranna-politik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CS/TXT/?uri=legissum:ai002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2137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Oulehlová Alena</dc:creator>
  <cp:lastModifiedBy>Vičar Radim</cp:lastModifiedBy>
  <cp:revision>6</cp:revision>
  <dcterms:created xsi:type="dcterms:W3CDTF">2020-07-15T06:49:00Z</dcterms:created>
  <dcterms:modified xsi:type="dcterms:W3CDTF">2020-07-15T08:43:00Z</dcterms:modified>
</cp:coreProperties>
</file>