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8B610" w14:textId="77777777" w:rsidR="00463867" w:rsidRPr="00463867" w:rsidRDefault="00463867" w:rsidP="00463867">
      <w:pPr>
        <w:keepNext/>
        <w:keepLines/>
        <w:widowControl w:val="0"/>
        <w:spacing w:after="100" w:line="240" w:lineRule="auto"/>
        <w:jc w:val="both"/>
        <w:outlineLvl w:val="4"/>
        <w:rPr>
          <w:rFonts w:ascii="Arial Narrow" w:eastAsia="Times New Roman" w:hAnsi="Arial Narrow" w:cs="Times New Roman"/>
          <w:b/>
          <w:bCs/>
          <w:color w:val="000000"/>
          <w:sz w:val="28"/>
          <w:szCs w:val="28"/>
          <w:lang w:eastAsia="cs-CZ" w:bidi="cs-CZ"/>
        </w:rPr>
      </w:pPr>
      <w:bookmarkStart w:id="0" w:name="bookmark942"/>
      <w:bookmarkStart w:id="1" w:name="bookmark943"/>
      <w:r w:rsidRPr="00463867">
        <w:rPr>
          <w:rFonts w:ascii="Arial Narrow" w:eastAsia="Times New Roman" w:hAnsi="Arial Narrow" w:cs="Times New Roman"/>
          <w:b/>
          <w:bCs/>
          <w:color w:val="000000"/>
          <w:sz w:val="28"/>
          <w:szCs w:val="28"/>
          <w:lang w:eastAsia="cs-CZ" w:bidi="cs-CZ"/>
        </w:rPr>
        <w:t>Název předmětu: Vybrané bezpečnostní aspekty ve veřejném právu</w:t>
      </w:r>
    </w:p>
    <w:p w14:paraId="2CFD49FC" w14:textId="7F50E651" w:rsidR="00463867" w:rsidRPr="00463867" w:rsidRDefault="00463867" w:rsidP="00E07E7C">
      <w:pPr>
        <w:keepNext/>
        <w:keepLines/>
        <w:widowControl w:val="0"/>
        <w:spacing w:after="600" w:line="240" w:lineRule="auto"/>
        <w:jc w:val="both"/>
        <w:outlineLvl w:val="4"/>
        <w:rPr>
          <w:rFonts w:ascii="Arial Narrow" w:eastAsia="Times New Roman" w:hAnsi="Arial Narrow" w:cs="Times New Roman"/>
          <w:b/>
          <w:bCs/>
          <w:color w:val="000000"/>
          <w:sz w:val="28"/>
          <w:szCs w:val="28"/>
          <w:lang w:eastAsia="cs-CZ" w:bidi="cs-CZ"/>
        </w:rPr>
      </w:pPr>
      <w:r w:rsidRPr="00463867">
        <w:rPr>
          <w:rFonts w:ascii="Arial Narrow" w:eastAsia="Times New Roman" w:hAnsi="Arial Narrow" w:cs="Times New Roman"/>
          <w:b/>
          <w:bCs/>
          <w:color w:val="000000"/>
          <w:sz w:val="28"/>
          <w:szCs w:val="28"/>
          <w:lang w:eastAsia="cs-CZ" w:bidi="cs-CZ"/>
        </w:rPr>
        <w:t>Téma č. 10: Nové trendy v bezpečnostně právní regulaci – kybernetická bezpečnost a robotika</w:t>
      </w:r>
    </w:p>
    <w:p w14:paraId="339F7B67" w14:textId="77777777" w:rsidR="00551321" w:rsidRPr="00463867" w:rsidRDefault="00551321" w:rsidP="00551321">
      <w:pPr>
        <w:keepNext/>
        <w:keepLines/>
        <w:widowControl w:val="0"/>
        <w:spacing w:after="100" w:line="240" w:lineRule="auto"/>
        <w:jc w:val="both"/>
        <w:outlineLvl w:val="4"/>
        <w:rPr>
          <w:rFonts w:ascii="Arial Narrow" w:eastAsia="Times New Roman" w:hAnsi="Arial Narrow" w:cs="Times New Roman"/>
          <w:b/>
          <w:bCs/>
          <w:sz w:val="24"/>
          <w:szCs w:val="24"/>
          <w:lang w:eastAsia="cs-CZ" w:bidi="cs-CZ"/>
        </w:rPr>
      </w:pPr>
      <w:r w:rsidRPr="00463867">
        <w:rPr>
          <w:rFonts w:ascii="Arial Narrow" w:eastAsia="Times New Roman" w:hAnsi="Arial Narrow" w:cs="Times New Roman"/>
          <w:b/>
          <w:bCs/>
          <w:color w:val="000000"/>
          <w:sz w:val="24"/>
          <w:szCs w:val="24"/>
          <w:lang w:eastAsia="cs-CZ" w:bidi="cs-CZ"/>
        </w:rPr>
        <w:t>ÚVOD</w:t>
      </w:r>
      <w:bookmarkEnd w:id="0"/>
      <w:bookmarkEnd w:id="1"/>
    </w:p>
    <w:p w14:paraId="084DDC3D"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Kriminalita patří k nejzávažnějším negativním společenským jevům, a proto je zapotřebí kriminalitě předcházet. Kriminalita se přizpůsobuje vývoji společnosti. S příchodem globalizace se sbližují nejen životní podmínky lidí přes hranice různých států, ale dochází i k internacionalizaci kriminality.</w:t>
      </w:r>
    </w:p>
    <w:p w14:paraId="2E06BE05"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Nejdynamičtěji se rozvíjející kriminalitou je </w:t>
      </w:r>
      <w:r w:rsidRPr="00463867">
        <w:rPr>
          <w:rFonts w:ascii="Arial Narrow" w:eastAsia="Times New Roman" w:hAnsi="Arial Narrow" w:cs="Times New Roman"/>
          <w:b/>
          <w:bCs/>
          <w:color w:val="000000"/>
          <w:sz w:val="24"/>
          <w:szCs w:val="24"/>
          <w:lang w:eastAsia="cs-CZ" w:bidi="cs-CZ"/>
        </w:rPr>
        <w:t>kybernetická trestná činnost</w:t>
      </w:r>
      <w:r w:rsidRPr="00463867">
        <w:rPr>
          <w:rFonts w:ascii="Arial Narrow" w:eastAsia="Times New Roman" w:hAnsi="Arial Narrow" w:cs="Times New Roman"/>
          <w:color w:val="000000"/>
          <w:sz w:val="24"/>
          <w:szCs w:val="24"/>
          <w:lang w:eastAsia="cs-CZ" w:bidi="cs-CZ"/>
        </w:rPr>
        <w:t>. Je typickou trestnou činností, u níž dochází k potírání geografických a státně teritoriálních omezení.</w:t>
      </w:r>
    </w:p>
    <w:p w14:paraId="53B47F96" w14:textId="77777777" w:rsidR="00551321" w:rsidRPr="00463867" w:rsidRDefault="00551321" w:rsidP="00551321">
      <w:pPr>
        <w:keepNext/>
        <w:keepLines/>
        <w:widowControl w:val="0"/>
        <w:numPr>
          <w:ilvl w:val="0"/>
          <w:numId w:val="2"/>
        </w:numPr>
        <w:tabs>
          <w:tab w:val="left" w:pos="427"/>
        </w:tabs>
        <w:spacing w:after="100" w:line="240" w:lineRule="auto"/>
        <w:jc w:val="both"/>
        <w:outlineLvl w:val="4"/>
        <w:rPr>
          <w:rFonts w:ascii="Arial Narrow" w:eastAsia="Times New Roman" w:hAnsi="Arial Narrow" w:cs="Times New Roman"/>
          <w:b/>
          <w:bCs/>
          <w:sz w:val="24"/>
          <w:szCs w:val="24"/>
          <w:lang w:eastAsia="cs-CZ" w:bidi="cs-CZ"/>
        </w:rPr>
      </w:pPr>
      <w:bookmarkStart w:id="2" w:name="bookmark944"/>
      <w:bookmarkStart w:id="3" w:name="bookmark945"/>
      <w:r w:rsidRPr="00463867">
        <w:rPr>
          <w:rFonts w:ascii="Arial Narrow" w:eastAsia="Times New Roman" w:hAnsi="Arial Narrow" w:cs="Times New Roman"/>
          <w:b/>
          <w:bCs/>
          <w:color w:val="000000"/>
          <w:sz w:val="24"/>
          <w:szCs w:val="24"/>
          <w:lang w:eastAsia="cs-CZ" w:bidi="cs-CZ"/>
        </w:rPr>
        <w:t>CHARAKTERISTIKA KYBERKRIMINALITY</w:t>
      </w:r>
      <w:bookmarkEnd w:id="2"/>
      <w:bookmarkEnd w:id="3"/>
    </w:p>
    <w:p w14:paraId="4E8F790E"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Kybernetická kriminalita nebo také kyberkriminalita je relativně nový interdisciplinární obor (v porovnání s obory jinými), zabývající se nelegálními a škodlivými aktivitami v kyberprostoru, které jsou založeny na použití nebo zneužití počítačové technologie.</w:t>
      </w:r>
    </w:p>
    <w:p w14:paraId="7123E693"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Pojem kyberkriminalita nahradil dříve používané pojmy jako počítačová kriminalita nebo kriminalita v informační vědě. Počítačová kriminalita byla nejčastěji charakterizována jako „</w:t>
      </w:r>
      <w:r w:rsidRPr="00463867">
        <w:rPr>
          <w:rFonts w:ascii="Arial Narrow" w:eastAsia="Times New Roman" w:hAnsi="Arial Narrow" w:cs="Times New Roman"/>
          <w:i/>
          <w:iCs/>
          <w:color w:val="000000"/>
          <w:sz w:val="24"/>
          <w:szCs w:val="24"/>
          <w:lang w:eastAsia="cs-CZ" w:bidi="cs-CZ"/>
        </w:rPr>
        <w:t>páchání trestné činnosti, v níž figuruje počítač jako souhrn hardwarového a softwarového vybavení data nevyjímaje, případně větší množství počítačů samostatných nebo propojených do počítačové sítě, a to buď jako předmět této trestné činnosti, ovšem s výjimkou té trestné činnosti, jejímž předmětem jsou popsaná zařízení jako movité věci, nebo jako nástroj trestné činnosti.“</w:t>
      </w:r>
      <w:r w:rsidRPr="00463867">
        <w:rPr>
          <w:rFonts w:ascii="Arial Narrow" w:eastAsia="Times New Roman" w:hAnsi="Arial Narrow" w:cs="Times New Roman"/>
          <w:i/>
          <w:iCs/>
          <w:color w:val="000000"/>
          <w:sz w:val="24"/>
          <w:szCs w:val="24"/>
          <w:vertAlign w:val="superscript"/>
          <w:lang w:eastAsia="cs-CZ" w:bidi="cs-CZ"/>
        </w:rPr>
        <w:t>1</w:t>
      </w:r>
    </w:p>
    <w:p w14:paraId="0951831A" w14:textId="77777777" w:rsidR="00551321" w:rsidRPr="00463867" w:rsidRDefault="00551321" w:rsidP="00551321">
      <w:pPr>
        <w:widowControl w:val="0"/>
        <w:spacing w:after="100" w:line="240" w:lineRule="auto"/>
        <w:jc w:val="both"/>
        <w:rPr>
          <w:rFonts w:ascii="Arial Narrow" w:eastAsia="Times New Roman" w:hAnsi="Arial Narrow" w:cs="Times New Roman"/>
          <w:sz w:val="16"/>
          <w:szCs w:val="16"/>
          <w:lang w:eastAsia="cs-CZ" w:bidi="cs-CZ"/>
        </w:rPr>
      </w:pPr>
      <w:r w:rsidRPr="00463867">
        <w:rPr>
          <w:rFonts w:ascii="Arial Narrow" w:eastAsia="Times New Roman" w:hAnsi="Arial Narrow" w:cs="Times New Roman"/>
          <w:color w:val="000000"/>
          <w:sz w:val="24"/>
          <w:szCs w:val="24"/>
          <w:lang w:eastAsia="cs-CZ" w:bidi="cs-CZ"/>
        </w:rPr>
        <w:t>V USA byl první počítačový trestný čin zaznamenán již v roce 1958</w:t>
      </w:r>
      <w:r w:rsidRPr="00463867">
        <w:rPr>
          <w:rFonts w:ascii="Arial Narrow" w:eastAsia="Calibri" w:hAnsi="Arial Narrow" w:cs="Calibri"/>
          <w:color w:val="000000"/>
          <w:sz w:val="16"/>
          <w:szCs w:val="16"/>
          <w:vertAlign w:val="superscript"/>
          <w:lang w:eastAsia="cs-CZ" w:bidi="cs-CZ"/>
        </w:rPr>
        <w:footnoteReference w:id="1"/>
      </w:r>
      <w:r w:rsidRPr="00463867">
        <w:rPr>
          <w:rFonts w:ascii="Arial Narrow" w:eastAsia="Calibri" w:hAnsi="Arial Narrow" w:cs="Calibri"/>
          <w:color w:val="000000"/>
          <w:sz w:val="16"/>
          <w:szCs w:val="16"/>
          <w:vertAlign w:val="superscript"/>
          <w:lang w:eastAsia="cs-CZ" w:bidi="cs-CZ"/>
        </w:rPr>
        <w:t xml:space="preserve"> </w:t>
      </w:r>
      <w:r w:rsidRPr="00463867">
        <w:rPr>
          <w:rFonts w:ascii="Arial Narrow" w:eastAsia="Calibri" w:hAnsi="Arial Narrow" w:cs="Calibri"/>
          <w:color w:val="000000"/>
          <w:sz w:val="16"/>
          <w:szCs w:val="16"/>
          <w:vertAlign w:val="superscript"/>
          <w:lang w:eastAsia="cs-CZ" w:bidi="cs-CZ"/>
        </w:rPr>
        <w:footnoteReference w:id="2"/>
      </w:r>
      <w:r w:rsidRPr="00463867">
        <w:rPr>
          <w:rFonts w:ascii="Arial Narrow" w:eastAsia="Times New Roman" w:hAnsi="Arial Narrow" w:cs="Times New Roman"/>
          <w:color w:val="000000"/>
          <w:sz w:val="24"/>
          <w:szCs w:val="24"/>
          <w:lang w:eastAsia="cs-CZ" w:bidi="cs-CZ"/>
        </w:rPr>
        <w:t>, ale samotný pojem „počítačová kriminalita“ („computer crime“) se jako obecně přijímaný pojem objevuje v právní a kriminologické terminologii vyspělých zemí až v sedmdesátých letech. Tehdy se odehrál i první čistě počítačový zločin v ČR, který spočíval v tom, že nespokojený pracovník Úřadu důchodového zabezpečení poškozoval magnetem záznamy na magnetických páskách.</w:t>
      </w:r>
      <w:r w:rsidRPr="00463867">
        <w:rPr>
          <w:rFonts w:ascii="Arial Narrow" w:eastAsia="Calibri" w:hAnsi="Arial Narrow" w:cs="Calibri"/>
          <w:color w:val="000000"/>
          <w:sz w:val="16"/>
          <w:szCs w:val="16"/>
          <w:vertAlign w:val="superscript"/>
          <w:lang w:eastAsia="cs-CZ" w:bidi="cs-CZ"/>
        </w:rPr>
        <w:footnoteReference w:id="3"/>
      </w:r>
    </w:p>
    <w:p w14:paraId="171F2CED"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Vývoj kybernetické kriminality lze rozdělit na následující etapy:</w:t>
      </w:r>
    </w:p>
    <w:p w14:paraId="220B4795" w14:textId="77777777" w:rsidR="00551321" w:rsidRPr="00463867" w:rsidRDefault="00551321" w:rsidP="00551321">
      <w:pPr>
        <w:widowControl w:val="0"/>
        <w:numPr>
          <w:ilvl w:val="0"/>
          <w:numId w:val="3"/>
        </w:numPr>
        <w:tabs>
          <w:tab w:val="left" w:pos="1080"/>
        </w:tabs>
        <w:spacing w:after="100" w:line="240" w:lineRule="auto"/>
        <w:ind w:firstLine="72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Etapa sólových, nedostupných počítačů.</w:t>
      </w:r>
    </w:p>
    <w:p w14:paraId="25C5DD8C" w14:textId="77777777" w:rsidR="00551321" w:rsidRPr="00463867" w:rsidRDefault="00551321" w:rsidP="00551321">
      <w:pPr>
        <w:widowControl w:val="0"/>
        <w:numPr>
          <w:ilvl w:val="0"/>
          <w:numId w:val="3"/>
        </w:numPr>
        <w:tabs>
          <w:tab w:val="left" w:pos="1080"/>
        </w:tabs>
        <w:spacing w:after="100" w:line="240" w:lineRule="auto"/>
        <w:ind w:firstLine="72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Etapa nástupu osobních počítačů.</w:t>
      </w:r>
    </w:p>
    <w:p w14:paraId="32D1031A" w14:textId="77777777" w:rsidR="00551321" w:rsidRPr="00463867" w:rsidRDefault="00551321" w:rsidP="00551321">
      <w:pPr>
        <w:widowControl w:val="0"/>
        <w:numPr>
          <w:ilvl w:val="0"/>
          <w:numId w:val="3"/>
        </w:numPr>
        <w:tabs>
          <w:tab w:val="left" w:pos="1080"/>
        </w:tabs>
        <w:spacing w:after="100" w:line="240" w:lineRule="auto"/>
        <w:ind w:firstLine="720"/>
        <w:jc w:val="both"/>
        <w:rPr>
          <w:rFonts w:ascii="Arial Narrow" w:eastAsia="Times New Roman" w:hAnsi="Arial Narrow" w:cs="Times New Roman"/>
          <w:sz w:val="16"/>
          <w:szCs w:val="16"/>
          <w:lang w:eastAsia="cs-CZ" w:bidi="cs-CZ"/>
        </w:rPr>
      </w:pPr>
      <w:r w:rsidRPr="00463867">
        <w:rPr>
          <w:rFonts w:ascii="Arial Narrow" w:eastAsia="Times New Roman" w:hAnsi="Arial Narrow" w:cs="Times New Roman"/>
          <w:color w:val="000000"/>
          <w:sz w:val="24"/>
          <w:szCs w:val="24"/>
          <w:lang w:eastAsia="cs-CZ" w:bidi="cs-CZ"/>
        </w:rPr>
        <w:t>Etapa propojování počítačů do sítě.</w:t>
      </w:r>
      <w:r w:rsidRPr="00463867">
        <w:rPr>
          <w:rFonts w:ascii="Arial Narrow" w:eastAsia="Calibri" w:hAnsi="Arial Narrow" w:cs="Calibri"/>
          <w:color w:val="000000"/>
          <w:sz w:val="16"/>
          <w:szCs w:val="16"/>
          <w:vertAlign w:val="superscript"/>
          <w:lang w:eastAsia="cs-CZ" w:bidi="cs-CZ"/>
        </w:rPr>
        <w:footnoteReference w:id="4"/>
      </w:r>
    </w:p>
    <w:p w14:paraId="1770BB9D" w14:textId="77777777" w:rsidR="00551321" w:rsidRPr="00463867" w:rsidRDefault="00551321" w:rsidP="00551321">
      <w:pPr>
        <w:widowControl w:val="0"/>
        <w:spacing w:after="100" w:line="240" w:lineRule="auto"/>
        <w:jc w:val="both"/>
        <w:rPr>
          <w:rFonts w:ascii="Arial Narrow" w:eastAsia="Times New Roman" w:hAnsi="Arial Narrow" w:cs="Times New Roman"/>
          <w:sz w:val="16"/>
          <w:szCs w:val="16"/>
          <w:lang w:eastAsia="cs-CZ" w:bidi="cs-CZ"/>
        </w:rPr>
      </w:pPr>
      <w:r w:rsidRPr="00463867">
        <w:rPr>
          <w:rFonts w:ascii="Arial Narrow" w:eastAsia="Times New Roman" w:hAnsi="Arial Narrow" w:cs="Times New Roman"/>
          <w:b/>
          <w:bCs/>
          <w:color w:val="000000"/>
          <w:sz w:val="24"/>
          <w:szCs w:val="24"/>
          <w:lang w:eastAsia="cs-CZ" w:bidi="cs-CZ"/>
        </w:rPr>
        <w:t>Kybernetická kriminalita je obvykle charakterizován jako souhrn takových trestných činů, které jsou páchány v kyberprostoru</w:t>
      </w:r>
      <w:r w:rsidRPr="00463867">
        <w:rPr>
          <w:rFonts w:ascii="Arial Narrow" w:eastAsia="Times New Roman" w:hAnsi="Arial Narrow" w:cs="Times New Roman"/>
          <w:color w:val="000000"/>
          <w:sz w:val="24"/>
          <w:szCs w:val="24"/>
          <w:lang w:eastAsia="cs-CZ" w:bidi="cs-CZ"/>
        </w:rPr>
        <w:t>. „</w:t>
      </w:r>
      <w:r w:rsidRPr="00463867">
        <w:rPr>
          <w:rFonts w:ascii="Arial Narrow" w:eastAsia="Times New Roman" w:hAnsi="Arial Narrow" w:cs="Times New Roman"/>
          <w:i/>
          <w:iCs/>
          <w:color w:val="000000"/>
          <w:sz w:val="24"/>
          <w:szCs w:val="24"/>
          <w:lang w:eastAsia="cs-CZ" w:bidi="cs-CZ"/>
        </w:rPr>
        <w:t>Těžištěm útoku již není počítač, ale kyberprostor tvořený počítačovými sítěmi a jejich jednotlivými prvky, ve kterém spolu komunikují veškerá zařízení ovládající protokol TCP/IP“.</w:t>
      </w:r>
      <w:r w:rsidRPr="00463867">
        <w:rPr>
          <w:rFonts w:ascii="Arial Narrow" w:eastAsia="Calibri" w:hAnsi="Arial Narrow" w:cs="Calibri"/>
          <w:color w:val="000000"/>
          <w:sz w:val="16"/>
          <w:szCs w:val="16"/>
          <w:vertAlign w:val="superscript"/>
          <w:lang w:eastAsia="cs-CZ" w:bidi="cs-CZ"/>
        </w:rPr>
        <w:footnoteReference w:id="5"/>
      </w:r>
    </w:p>
    <w:p w14:paraId="5ADA2E3B" w14:textId="6824D155"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V současné době nemá kybernetická kriminalita žádný oficiálně definovaný obsah. </w:t>
      </w:r>
      <w:r w:rsidRPr="00463867">
        <w:rPr>
          <w:rFonts w:ascii="Arial Narrow" w:eastAsia="Times New Roman" w:hAnsi="Arial Narrow" w:cs="Times New Roman"/>
          <w:b/>
          <w:bCs/>
          <w:color w:val="000000"/>
          <w:sz w:val="24"/>
          <w:szCs w:val="24"/>
          <w:lang w:eastAsia="cs-CZ" w:bidi="cs-CZ"/>
        </w:rPr>
        <w:t xml:space="preserve">Jednotná definice neexistuje v teorii ani </w:t>
      </w:r>
      <w:r w:rsidR="00463867">
        <w:rPr>
          <w:rFonts w:ascii="Arial Narrow" w:eastAsia="Times New Roman" w:hAnsi="Arial Narrow" w:cs="Times New Roman"/>
          <w:b/>
          <w:bCs/>
          <w:color w:val="000000"/>
          <w:sz w:val="24"/>
          <w:szCs w:val="24"/>
          <w:lang w:eastAsia="cs-CZ" w:bidi="cs-CZ"/>
        </w:rPr>
        <w:t>v platné právní úpravě</w:t>
      </w:r>
      <w:r w:rsidRPr="00463867">
        <w:rPr>
          <w:rFonts w:ascii="Arial Narrow" w:eastAsia="Times New Roman" w:hAnsi="Arial Narrow" w:cs="Times New Roman"/>
          <w:b/>
          <w:bCs/>
          <w:color w:val="000000"/>
          <w:sz w:val="24"/>
          <w:szCs w:val="24"/>
          <w:lang w:eastAsia="cs-CZ" w:bidi="cs-CZ"/>
        </w:rPr>
        <w:t>.</w:t>
      </w:r>
    </w:p>
    <w:p w14:paraId="7F2C701C"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Dle dostupné odborné literatury jde v případě kybernetické kriminality, o taková kriminální jednání, při </w:t>
      </w:r>
      <w:r w:rsidRPr="00463867">
        <w:rPr>
          <w:rFonts w:ascii="Arial Narrow" w:eastAsia="Times New Roman" w:hAnsi="Arial Narrow" w:cs="Times New Roman"/>
          <w:color w:val="000000"/>
          <w:sz w:val="24"/>
          <w:szCs w:val="24"/>
          <w:lang w:eastAsia="cs-CZ" w:bidi="cs-CZ"/>
        </w:rPr>
        <w:lastRenderedPageBreak/>
        <w:t>nichž bylo užito výpočetní techniky, informačních či komunikačních systémů:</w:t>
      </w:r>
    </w:p>
    <w:p w14:paraId="66D5EAD7" w14:textId="77777777" w:rsidR="00551321" w:rsidRPr="00463867" w:rsidRDefault="00551321" w:rsidP="00551321">
      <w:pPr>
        <w:widowControl w:val="0"/>
        <w:numPr>
          <w:ilvl w:val="0"/>
          <w:numId w:val="4"/>
        </w:numPr>
        <w:tabs>
          <w:tab w:val="left" w:pos="730"/>
        </w:tabs>
        <w:spacing w:after="100" w:line="240" w:lineRule="auto"/>
        <w:ind w:left="720" w:hanging="3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jako předmět této trestné činnosti, tzn. cíl útoku pachatele, ovšem s výjimkou té trestné činnosti, jejímž předmětem jsou popsaná zařízení jako věci movité anebo</w:t>
      </w:r>
    </w:p>
    <w:p w14:paraId="379F1FEF" w14:textId="77777777" w:rsidR="00551321" w:rsidRPr="00463867" w:rsidRDefault="00551321" w:rsidP="00551321">
      <w:pPr>
        <w:widowControl w:val="0"/>
        <w:numPr>
          <w:ilvl w:val="0"/>
          <w:numId w:val="4"/>
        </w:numPr>
        <w:tabs>
          <w:tab w:val="left" w:pos="730"/>
        </w:tabs>
        <w:spacing w:after="100" w:line="240" w:lineRule="auto"/>
        <w:ind w:firstLine="380"/>
        <w:jc w:val="both"/>
        <w:rPr>
          <w:rFonts w:ascii="Arial Narrow" w:eastAsia="Times New Roman" w:hAnsi="Arial Narrow" w:cs="Times New Roman"/>
          <w:sz w:val="16"/>
          <w:szCs w:val="16"/>
          <w:lang w:eastAsia="cs-CZ" w:bidi="cs-CZ"/>
        </w:rPr>
      </w:pPr>
      <w:r w:rsidRPr="00463867">
        <w:rPr>
          <w:rFonts w:ascii="Arial Narrow" w:eastAsia="Times New Roman" w:hAnsi="Arial Narrow" w:cs="Times New Roman"/>
          <w:color w:val="000000"/>
          <w:sz w:val="24"/>
          <w:szCs w:val="24"/>
          <w:lang w:eastAsia="cs-CZ" w:bidi="cs-CZ"/>
        </w:rPr>
        <w:t>jako nástroj ke spáchání trestného činu.</w:t>
      </w:r>
      <w:r w:rsidRPr="00463867">
        <w:rPr>
          <w:rFonts w:ascii="Arial Narrow" w:eastAsia="Calibri" w:hAnsi="Arial Narrow" w:cs="Calibri"/>
          <w:color w:val="000000"/>
          <w:sz w:val="16"/>
          <w:szCs w:val="16"/>
          <w:vertAlign w:val="superscript"/>
          <w:lang w:eastAsia="cs-CZ" w:bidi="cs-CZ"/>
        </w:rPr>
        <w:footnoteReference w:id="6"/>
      </w:r>
    </w:p>
    <w:p w14:paraId="6E98E7E4"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Pojem kybernetické kriminality tedy nestaví do centra pozornosti počítač, nýbrž klade důraz na využívání komunikačních a informačních technologií a především na virtuální prostor, tedy kyberprostor, v jehož rámci se delikt uskutečňuje. Odráží tak technologický vývoj počítačových systémů a jejich funkcí. Z uvedeného je tedy zřejmé, že </w:t>
      </w:r>
      <w:r w:rsidRPr="00463867">
        <w:rPr>
          <w:rFonts w:ascii="Arial Narrow" w:eastAsia="Times New Roman" w:hAnsi="Arial Narrow" w:cs="Times New Roman"/>
          <w:b/>
          <w:bCs/>
          <w:color w:val="000000"/>
          <w:sz w:val="24"/>
          <w:szCs w:val="24"/>
          <w:lang w:eastAsia="cs-CZ" w:bidi="cs-CZ"/>
        </w:rPr>
        <w:t xml:space="preserve">těžištěm útoku </w:t>
      </w:r>
      <w:r w:rsidRPr="00463867">
        <w:rPr>
          <w:rFonts w:ascii="Arial Narrow" w:eastAsia="Times New Roman" w:hAnsi="Arial Narrow" w:cs="Times New Roman"/>
          <w:color w:val="000000"/>
          <w:sz w:val="24"/>
          <w:szCs w:val="24"/>
          <w:lang w:eastAsia="cs-CZ" w:bidi="cs-CZ"/>
        </w:rPr>
        <w:t xml:space="preserve">již není počítač, ale </w:t>
      </w:r>
      <w:r w:rsidRPr="00463867">
        <w:rPr>
          <w:rFonts w:ascii="Arial Narrow" w:eastAsia="Times New Roman" w:hAnsi="Arial Narrow" w:cs="Times New Roman"/>
          <w:b/>
          <w:bCs/>
          <w:color w:val="000000"/>
          <w:sz w:val="24"/>
          <w:szCs w:val="24"/>
          <w:lang w:eastAsia="cs-CZ" w:bidi="cs-CZ"/>
        </w:rPr>
        <w:t>kyberprostor.</w:t>
      </w:r>
    </w:p>
    <w:p w14:paraId="7B050E62"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Kybernetický prostor pak věcný záměr zákona o kybernetické bezpečnosti vykládá jako </w:t>
      </w:r>
      <w:r w:rsidRPr="00463867">
        <w:rPr>
          <w:rFonts w:ascii="Arial Narrow" w:eastAsia="Times New Roman" w:hAnsi="Arial Narrow" w:cs="Times New Roman"/>
          <w:i/>
          <w:iCs/>
          <w:color w:val="000000"/>
          <w:sz w:val="24"/>
          <w:szCs w:val="24"/>
          <w:lang w:eastAsia="cs-CZ" w:bidi="cs-CZ"/>
        </w:rPr>
        <w:t>„digitální prostředí umožňující vznik, zpracování a výměnu informací, tvořené informačními a komunikačními technologiemi, zahrnující připojení k veřejné síti (internet)“</w:t>
      </w:r>
      <w:r w:rsidRPr="00463867">
        <w:rPr>
          <w:rFonts w:ascii="Arial Narrow" w:eastAsia="Times New Roman" w:hAnsi="Arial Narrow" w:cs="Times New Roman"/>
          <w:i/>
          <w:iCs/>
          <w:color w:val="000000"/>
          <w:sz w:val="24"/>
          <w:szCs w:val="24"/>
          <w:vertAlign w:val="superscript"/>
          <w:lang w:eastAsia="cs-CZ" w:bidi="cs-CZ"/>
        </w:rPr>
        <w:footnoteReference w:id="7"/>
      </w:r>
    </w:p>
    <w:p w14:paraId="0C05CFD9"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Kyberprostor tedy vzniká díky počítačovým systémům. Bez počítačů není ani kyberprostoru. Z tohoto úhlu pohledu bude v kybernetické kriminalitě vždy figurovat i počítač a každý případ kybernetické kriminality lze tedy označit i za počítačovou kriminalitu. Dalšími stavebními kameny kyberkriminality jsou kromě počítačů, informace a sítě. Takový přístup k definování kybernetických trestných činů nebude do budoucna udržitelný. S dalším rozvojem počítačových technologií se jejich využívání v každodenním životě natolik rozšíří, že bude možné podřadit pod takto široce pojatou definici kyberkriminality téměř vše. Tím okamžikem však uvedená definice ztratí svůj význam.</w:t>
      </w:r>
    </w:p>
    <w:p w14:paraId="56037041"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Dalším nedostatkem výše uvedené definice kyberkriminality je její navázání na výskyt počítače ve formě nástroje. Pak by každý trestný čin, v jehož rámci je počítač nějakým způsobem využit jako nástroj, bylo možné považovat za projev kyberkriminality, a tím by se pod kyberkriminalitu dostala obsáhlá množina trestných činů. Navíc není zvykem v právní teorii specifikovat kategorii trestných činů podle použitých prostředků.</w:t>
      </w:r>
    </w:p>
    <w:p w14:paraId="5CF63ED6"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Kyberkriminalitu definují tři hlavní novinky:</w:t>
      </w:r>
    </w:p>
    <w:p w14:paraId="6DD56DAF" w14:textId="77777777" w:rsidR="00551321" w:rsidRPr="00463867" w:rsidRDefault="00551321" w:rsidP="00551321">
      <w:pPr>
        <w:widowControl w:val="0"/>
        <w:numPr>
          <w:ilvl w:val="0"/>
          <w:numId w:val="5"/>
        </w:numPr>
        <w:tabs>
          <w:tab w:val="left" w:pos="1100"/>
        </w:tabs>
        <w:spacing w:after="100" w:line="240" w:lineRule="auto"/>
        <w:ind w:firstLine="74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uskutečňuje se v novém „virtuálním“ prostoru,</w:t>
      </w:r>
    </w:p>
    <w:p w14:paraId="2FDDB987" w14:textId="77777777" w:rsidR="00551321" w:rsidRPr="00463867" w:rsidRDefault="00551321" w:rsidP="00551321">
      <w:pPr>
        <w:widowControl w:val="0"/>
        <w:numPr>
          <w:ilvl w:val="0"/>
          <w:numId w:val="5"/>
        </w:numPr>
        <w:tabs>
          <w:tab w:val="left" w:pos="1100"/>
        </w:tabs>
        <w:spacing w:after="100" w:line="240" w:lineRule="auto"/>
        <w:ind w:left="1100" w:hanging="36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obsahuje nová deviantní chování (podle eliminačního testu je „pravou“ kyberkriminalitou taková kriminalita, která by neexistovala bez internetu),</w:t>
      </w:r>
    </w:p>
    <w:p w14:paraId="682339B2" w14:textId="77777777" w:rsidR="00551321" w:rsidRPr="00463867" w:rsidRDefault="00551321" w:rsidP="00551321">
      <w:pPr>
        <w:widowControl w:val="0"/>
        <w:numPr>
          <w:ilvl w:val="0"/>
          <w:numId w:val="5"/>
        </w:numPr>
        <w:tabs>
          <w:tab w:val="left" w:pos="1100"/>
        </w:tabs>
        <w:spacing w:after="100" w:line="240" w:lineRule="auto"/>
        <w:ind w:firstLine="740"/>
        <w:jc w:val="both"/>
        <w:rPr>
          <w:rFonts w:ascii="Arial Narrow" w:eastAsia="Times New Roman" w:hAnsi="Arial Narrow" w:cs="Times New Roman"/>
          <w:sz w:val="16"/>
          <w:szCs w:val="16"/>
          <w:lang w:eastAsia="cs-CZ" w:bidi="cs-CZ"/>
        </w:rPr>
      </w:pPr>
      <w:r w:rsidRPr="00463867">
        <w:rPr>
          <w:rFonts w:ascii="Arial Narrow" w:eastAsia="Times New Roman" w:hAnsi="Arial Narrow" w:cs="Times New Roman"/>
          <w:color w:val="000000"/>
          <w:sz w:val="24"/>
          <w:szCs w:val="24"/>
          <w:lang w:eastAsia="cs-CZ" w:bidi="cs-CZ"/>
        </w:rPr>
        <w:t>novinky v trestněprávních reakcích.</w:t>
      </w:r>
      <w:r w:rsidRPr="00463867">
        <w:rPr>
          <w:rFonts w:ascii="Arial Narrow" w:eastAsia="Calibri" w:hAnsi="Arial Narrow" w:cs="Calibri"/>
          <w:color w:val="000000"/>
          <w:sz w:val="16"/>
          <w:szCs w:val="16"/>
          <w:vertAlign w:val="superscript"/>
          <w:lang w:eastAsia="cs-CZ" w:bidi="cs-CZ"/>
        </w:rPr>
        <w:footnoteReference w:id="8"/>
      </w:r>
    </w:p>
    <w:p w14:paraId="2A6950B6" w14:textId="77777777" w:rsidR="00551321" w:rsidRPr="00463867" w:rsidRDefault="00551321" w:rsidP="00551321">
      <w:pPr>
        <w:widowControl w:val="0"/>
        <w:spacing w:after="100" w:line="240" w:lineRule="auto"/>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Mezi další nejvýraznější </w:t>
      </w:r>
      <w:r w:rsidRPr="00463867">
        <w:rPr>
          <w:rFonts w:ascii="Arial Narrow" w:eastAsia="Times New Roman" w:hAnsi="Arial Narrow" w:cs="Times New Roman"/>
          <w:b/>
          <w:bCs/>
          <w:color w:val="000000"/>
          <w:sz w:val="24"/>
          <w:szCs w:val="24"/>
          <w:lang w:eastAsia="cs-CZ" w:bidi="cs-CZ"/>
        </w:rPr>
        <w:t>specifika kyberkriminality</w:t>
      </w:r>
      <w:r w:rsidRPr="00463867">
        <w:rPr>
          <w:rFonts w:ascii="Arial Narrow" w:eastAsia="Times New Roman" w:hAnsi="Arial Narrow" w:cs="Times New Roman"/>
          <w:b/>
          <w:bCs/>
          <w:color w:val="000000"/>
          <w:sz w:val="24"/>
          <w:szCs w:val="24"/>
          <w:vertAlign w:val="superscript"/>
          <w:lang w:eastAsia="cs-CZ" w:bidi="cs-CZ"/>
        </w:rPr>
        <w:footnoteReference w:id="9"/>
      </w:r>
      <w:r w:rsidRPr="00463867">
        <w:rPr>
          <w:rFonts w:ascii="Arial Narrow" w:eastAsia="Times New Roman" w:hAnsi="Arial Narrow" w:cs="Times New Roman"/>
          <w:b/>
          <w:bCs/>
          <w:color w:val="000000"/>
          <w:sz w:val="24"/>
          <w:szCs w:val="24"/>
          <w:lang w:eastAsia="cs-CZ" w:bidi="cs-CZ"/>
        </w:rPr>
        <w:t xml:space="preserve"> </w:t>
      </w:r>
      <w:r w:rsidRPr="00463867">
        <w:rPr>
          <w:rFonts w:ascii="Arial Narrow" w:eastAsia="Times New Roman" w:hAnsi="Arial Narrow" w:cs="Times New Roman"/>
          <w:color w:val="000000"/>
          <w:sz w:val="24"/>
          <w:szCs w:val="24"/>
          <w:lang w:eastAsia="cs-CZ" w:bidi="cs-CZ"/>
        </w:rPr>
        <w:t>patří:</w:t>
      </w:r>
    </w:p>
    <w:p w14:paraId="254A10F0" w14:textId="77777777" w:rsidR="00551321" w:rsidRPr="00463867" w:rsidRDefault="00551321" w:rsidP="00551321">
      <w:pPr>
        <w:widowControl w:val="0"/>
        <w:numPr>
          <w:ilvl w:val="0"/>
          <w:numId w:val="6"/>
        </w:numPr>
        <w:tabs>
          <w:tab w:val="left" w:pos="1100"/>
        </w:tabs>
        <w:spacing w:after="100" w:line="240" w:lineRule="auto"/>
        <w:ind w:left="1100" w:hanging="36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anonymita - znamená, že pachatel kyberkriminality se nemusí do kontaktu s obětí dostat, protože může trestnou činnost páchat z pohodlí domova. Každá interakce však zanechává v prostředí tzv. digitální stopu, a tudíž se jedná o znak zdánlivý.</w:t>
      </w:r>
    </w:p>
    <w:p w14:paraId="25789138" w14:textId="77777777" w:rsidR="00551321" w:rsidRPr="00463867" w:rsidRDefault="00551321" w:rsidP="00551321">
      <w:pPr>
        <w:widowControl w:val="0"/>
        <w:numPr>
          <w:ilvl w:val="0"/>
          <w:numId w:val="6"/>
        </w:numPr>
        <w:tabs>
          <w:tab w:val="left" w:pos="1100"/>
        </w:tabs>
        <w:spacing w:after="100" w:line="240" w:lineRule="auto"/>
        <w:ind w:left="1100" w:hanging="360"/>
        <w:jc w:val="both"/>
        <w:rPr>
          <w:rFonts w:ascii="Arial Narrow" w:eastAsia="Times New Roman" w:hAnsi="Arial Narrow" w:cs="Times New Roman"/>
          <w:sz w:val="16"/>
          <w:szCs w:val="16"/>
          <w:lang w:eastAsia="cs-CZ" w:bidi="cs-CZ"/>
        </w:rPr>
      </w:pPr>
      <w:r w:rsidRPr="00463867">
        <w:rPr>
          <w:rFonts w:ascii="Arial Narrow" w:eastAsia="Times New Roman" w:hAnsi="Arial Narrow" w:cs="Times New Roman"/>
          <w:color w:val="000000"/>
          <w:sz w:val="24"/>
          <w:szCs w:val="24"/>
          <w:lang w:eastAsia="cs-CZ" w:bidi="cs-CZ"/>
        </w:rPr>
        <w:t>globálnost neboli dosažitelnost - znamená, že internet je celosvětovou sítí, a tudíž interakce mají mezinárodní charakter.</w:t>
      </w:r>
      <w:r w:rsidRPr="00463867">
        <w:rPr>
          <w:rFonts w:ascii="Arial Narrow" w:eastAsia="Times New Roman" w:hAnsi="Arial Narrow" w:cs="Times New Roman"/>
          <w:i/>
          <w:iCs/>
          <w:color w:val="000000"/>
          <w:sz w:val="24"/>
          <w:szCs w:val="24"/>
          <w:lang w:eastAsia="cs-CZ" w:bidi="cs-CZ"/>
        </w:rPr>
        <w:t>„Kyberprostor existuje nezávisle na vůli jednotlivce 24 hodin 7 dní v týdnu“.</w:t>
      </w:r>
      <w:r w:rsidRPr="00463867">
        <w:rPr>
          <w:rFonts w:ascii="Arial Narrow" w:eastAsia="Calibri" w:hAnsi="Arial Narrow" w:cs="Calibri"/>
          <w:color w:val="000000"/>
          <w:sz w:val="16"/>
          <w:szCs w:val="16"/>
          <w:lang w:eastAsia="cs-CZ" w:bidi="cs-CZ"/>
        </w:rPr>
        <w:t xml:space="preserve"> </w:t>
      </w:r>
      <w:r w:rsidRPr="00463867">
        <w:rPr>
          <w:rFonts w:ascii="Arial Narrow" w:eastAsia="Calibri" w:hAnsi="Arial Narrow" w:cs="Calibri"/>
          <w:color w:val="000000"/>
          <w:sz w:val="16"/>
          <w:szCs w:val="16"/>
          <w:vertAlign w:val="superscript"/>
          <w:lang w:eastAsia="cs-CZ" w:bidi="cs-CZ"/>
        </w:rPr>
        <w:footnoteReference w:id="10"/>
      </w:r>
    </w:p>
    <w:p w14:paraId="1D67D681" w14:textId="77777777" w:rsidR="00551321" w:rsidRPr="00463867" w:rsidRDefault="00551321" w:rsidP="00551321">
      <w:pPr>
        <w:widowControl w:val="0"/>
        <w:numPr>
          <w:ilvl w:val="0"/>
          <w:numId w:val="6"/>
        </w:numPr>
        <w:tabs>
          <w:tab w:val="left" w:pos="1100"/>
        </w:tabs>
        <w:spacing w:after="100" w:line="240" w:lineRule="auto"/>
        <w:ind w:firstLine="7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síťovost,</w:t>
      </w:r>
    </w:p>
    <w:p w14:paraId="339CDF71" w14:textId="77777777" w:rsidR="00551321" w:rsidRPr="00463867" w:rsidRDefault="00551321" w:rsidP="00551321">
      <w:pPr>
        <w:widowControl w:val="0"/>
        <w:numPr>
          <w:ilvl w:val="0"/>
          <w:numId w:val="6"/>
        </w:numPr>
        <w:tabs>
          <w:tab w:val="left" w:pos="1100"/>
        </w:tabs>
        <w:spacing w:after="100" w:line="240" w:lineRule="auto"/>
        <w:ind w:firstLine="7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informativnost,</w:t>
      </w:r>
    </w:p>
    <w:p w14:paraId="2434BDF5" w14:textId="77777777" w:rsidR="00551321" w:rsidRPr="00463867" w:rsidRDefault="00551321" w:rsidP="00551321">
      <w:pPr>
        <w:widowControl w:val="0"/>
        <w:numPr>
          <w:ilvl w:val="0"/>
          <w:numId w:val="6"/>
        </w:numPr>
        <w:tabs>
          <w:tab w:val="left" w:pos="1100"/>
        </w:tabs>
        <w:spacing w:after="100" w:line="240" w:lineRule="auto"/>
        <w:ind w:firstLine="7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distribuovanost - rozptýlenost,</w:t>
      </w:r>
    </w:p>
    <w:p w14:paraId="1668138F" w14:textId="77777777" w:rsidR="00551321" w:rsidRPr="00463867" w:rsidRDefault="00551321" w:rsidP="00551321">
      <w:pPr>
        <w:widowControl w:val="0"/>
        <w:numPr>
          <w:ilvl w:val="0"/>
          <w:numId w:val="6"/>
        </w:numPr>
        <w:tabs>
          <w:tab w:val="left" w:pos="1100"/>
        </w:tabs>
        <w:spacing w:after="100" w:line="240" w:lineRule="auto"/>
        <w:ind w:left="1100" w:hanging="36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automatizovanost - umožnění vzniku individuálních malých, na kumulované úrovni však </w:t>
      </w:r>
      <w:r w:rsidRPr="00463867">
        <w:rPr>
          <w:rFonts w:ascii="Arial Narrow" w:eastAsia="Times New Roman" w:hAnsi="Arial Narrow" w:cs="Times New Roman"/>
          <w:color w:val="000000"/>
          <w:sz w:val="24"/>
          <w:szCs w:val="24"/>
          <w:lang w:eastAsia="cs-CZ" w:bidi="cs-CZ"/>
        </w:rPr>
        <w:lastRenderedPageBreak/>
        <w:t>velkých škod.</w:t>
      </w:r>
    </w:p>
    <w:p w14:paraId="31C3073A"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Evropské centrum pro boj proti kyberkriminalitě v EC3 First Year Report identifikoval z hlediska trestněprávních reakcí tyto nové charakteristiky kyberkriminality, které ve svém důsledku ztěžují jejich trestní postih. Jedná se o:</w:t>
      </w:r>
    </w:p>
    <w:p w14:paraId="21F91157" w14:textId="77777777" w:rsidR="00551321" w:rsidRPr="00463867" w:rsidRDefault="00551321" w:rsidP="00551321">
      <w:pPr>
        <w:widowControl w:val="0"/>
        <w:numPr>
          <w:ilvl w:val="0"/>
          <w:numId w:val="7"/>
        </w:numPr>
        <w:tabs>
          <w:tab w:val="left" w:pos="762"/>
        </w:tabs>
        <w:spacing w:after="100" w:line="240" w:lineRule="auto"/>
        <w:ind w:firstLine="38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přeshraniční povahu internetu,</w:t>
      </w:r>
    </w:p>
    <w:p w14:paraId="6B1B0534" w14:textId="77777777" w:rsidR="00551321" w:rsidRPr="00463867" w:rsidRDefault="00551321" w:rsidP="00551321">
      <w:pPr>
        <w:widowControl w:val="0"/>
        <w:numPr>
          <w:ilvl w:val="0"/>
          <w:numId w:val="7"/>
        </w:numPr>
        <w:tabs>
          <w:tab w:val="left" w:pos="762"/>
        </w:tabs>
        <w:spacing w:after="100" w:line="240" w:lineRule="auto"/>
        <w:ind w:firstLine="38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zvyšování počtu trestných činů na masovou úroveň,</w:t>
      </w:r>
    </w:p>
    <w:p w14:paraId="06A38A7D" w14:textId="77777777" w:rsidR="00551321" w:rsidRPr="00463867" w:rsidRDefault="00551321" w:rsidP="00551321">
      <w:pPr>
        <w:widowControl w:val="0"/>
        <w:numPr>
          <w:ilvl w:val="0"/>
          <w:numId w:val="7"/>
        </w:numPr>
        <w:tabs>
          <w:tab w:val="left" w:pos="729"/>
        </w:tabs>
        <w:spacing w:after="100" w:line="240" w:lineRule="auto"/>
        <w:ind w:left="740" w:hanging="36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větší možnost skrývání kyberkriminality (latence) - některé výzkumy uvádějí až 95% latentnosti,</w:t>
      </w:r>
    </w:p>
    <w:p w14:paraId="4B0494C8" w14:textId="77777777" w:rsidR="00551321" w:rsidRPr="00463867" w:rsidRDefault="00551321" w:rsidP="00551321">
      <w:pPr>
        <w:widowControl w:val="0"/>
        <w:numPr>
          <w:ilvl w:val="0"/>
          <w:numId w:val="7"/>
        </w:numPr>
        <w:tabs>
          <w:tab w:val="left" w:pos="738"/>
        </w:tabs>
        <w:spacing w:after="500" w:line="240" w:lineRule="auto"/>
        <w:ind w:left="740" w:hanging="36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široce rozvětvenou zločineckou síť vzniklou spoluprací zločineckých skupin na internetu.</w:t>
      </w:r>
    </w:p>
    <w:p w14:paraId="09CC9F6A" w14:textId="77777777" w:rsidR="00551321" w:rsidRPr="00463867" w:rsidRDefault="00551321" w:rsidP="00551321">
      <w:pPr>
        <w:keepNext/>
        <w:keepLines/>
        <w:widowControl w:val="0"/>
        <w:numPr>
          <w:ilvl w:val="0"/>
          <w:numId w:val="2"/>
        </w:numPr>
        <w:tabs>
          <w:tab w:val="left" w:pos="427"/>
        </w:tabs>
        <w:spacing w:after="100" w:line="240" w:lineRule="auto"/>
        <w:jc w:val="both"/>
        <w:outlineLvl w:val="4"/>
        <w:rPr>
          <w:rFonts w:ascii="Arial Narrow" w:eastAsia="Times New Roman" w:hAnsi="Arial Narrow" w:cs="Times New Roman"/>
          <w:b/>
          <w:bCs/>
          <w:sz w:val="24"/>
          <w:szCs w:val="24"/>
          <w:lang w:eastAsia="cs-CZ" w:bidi="cs-CZ"/>
        </w:rPr>
      </w:pPr>
      <w:bookmarkStart w:id="4" w:name="bookmark946"/>
      <w:bookmarkStart w:id="5" w:name="bookmark947"/>
      <w:r w:rsidRPr="00463867">
        <w:rPr>
          <w:rFonts w:ascii="Arial Narrow" w:eastAsia="Times New Roman" w:hAnsi="Arial Narrow" w:cs="Times New Roman"/>
          <w:b/>
          <w:bCs/>
          <w:color w:val="000000"/>
          <w:sz w:val="24"/>
          <w:szCs w:val="24"/>
          <w:lang w:eastAsia="cs-CZ" w:bidi="cs-CZ"/>
        </w:rPr>
        <w:t>KATEGORIZACE KYBERKRIMINALITY</w:t>
      </w:r>
      <w:bookmarkEnd w:id="4"/>
      <w:bookmarkEnd w:id="5"/>
    </w:p>
    <w:p w14:paraId="0A0C686C"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Kybernetickou kriminalitu můžeme dělit dle různých hledisek. Jedním z dělení je klasifikace </w:t>
      </w:r>
      <w:r w:rsidRPr="00463867">
        <w:rPr>
          <w:rFonts w:ascii="Arial Narrow" w:eastAsia="Times New Roman" w:hAnsi="Arial Narrow" w:cs="Times New Roman"/>
          <w:b/>
          <w:bCs/>
          <w:color w:val="000000"/>
          <w:sz w:val="24"/>
          <w:szCs w:val="24"/>
          <w:lang w:eastAsia="cs-CZ" w:bidi="cs-CZ"/>
        </w:rPr>
        <w:t xml:space="preserve">podle iniciativy v rámci Lisabonské strategie </w:t>
      </w:r>
      <w:r w:rsidRPr="00463867">
        <w:rPr>
          <w:rFonts w:ascii="Arial Narrow" w:eastAsia="Times New Roman" w:hAnsi="Arial Narrow" w:cs="Times New Roman"/>
          <w:color w:val="000000"/>
          <w:sz w:val="24"/>
          <w:szCs w:val="24"/>
          <w:lang w:eastAsia="cs-CZ" w:bidi="cs-CZ"/>
        </w:rPr>
        <w:t>na:</w:t>
      </w:r>
    </w:p>
    <w:p w14:paraId="190EB295" w14:textId="77777777" w:rsidR="00551321" w:rsidRPr="00463867" w:rsidRDefault="00551321" w:rsidP="00551321">
      <w:pPr>
        <w:widowControl w:val="0"/>
        <w:numPr>
          <w:ilvl w:val="0"/>
          <w:numId w:val="8"/>
        </w:numPr>
        <w:tabs>
          <w:tab w:val="left" w:pos="798"/>
        </w:tabs>
        <w:spacing w:after="100" w:line="240" w:lineRule="auto"/>
        <w:ind w:firstLine="4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zločiny porušující soukromí,</w:t>
      </w:r>
    </w:p>
    <w:p w14:paraId="63E5AC35" w14:textId="77777777" w:rsidR="00551321" w:rsidRPr="00463867" w:rsidRDefault="00551321" w:rsidP="00551321">
      <w:pPr>
        <w:widowControl w:val="0"/>
        <w:numPr>
          <w:ilvl w:val="0"/>
          <w:numId w:val="8"/>
        </w:numPr>
        <w:tabs>
          <w:tab w:val="left" w:pos="798"/>
        </w:tabs>
        <w:spacing w:after="100" w:line="240" w:lineRule="auto"/>
        <w:ind w:firstLine="4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zločiny se vztahem k obsahu počítače,</w:t>
      </w:r>
    </w:p>
    <w:p w14:paraId="7D0C624A" w14:textId="77777777" w:rsidR="00551321" w:rsidRPr="00463867" w:rsidRDefault="00551321" w:rsidP="00551321">
      <w:pPr>
        <w:widowControl w:val="0"/>
        <w:numPr>
          <w:ilvl w:val="0"/>
          <w:numId w:val="8"/>
        </w:numPr>
        <w:tabs>
          <w:tab w:val="left" w:pos="798"/>
        </w:tabs>
        <w:spacing w:after="100" w:line="240" w:lineRule="auto"/>
        <w:ind w:firstLine="4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ekonomické zločiny,</w:t>
      </w:r>
    </w:p>
    <w:p w14:paraId="5F23A672" w14:textId="77777777" w:rsidR="00551321" w:rsidRPr="00463867" w:rsidRDefault="00551321" w:rsidP="00551321">
      <w:pPr>
        <w:widowControl w:val="0"/>
        <w:numPr>
          <w:ilvl w:val="0"/>
          <w:numId w:val="8"/>
        </w:numPr>
        <w:tabs>
          <w:tab w:val="left" w:pos="798"/>
        </w:tabs>
        <w:spacing w:after="100" w:line="240" w:lineRule="auto"/>
        <w:ind w:firstLine="4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zločiny se vztahem k duševnímu vlastnictví.</w:t>
      </w:r>
    </w:p>
    <w:p w14:paraId="75B53D1A"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Další možností je členění </w:t>
      </w:r>
      <w:r w:rsidRPr="00463867">
        <w:rPr>
          <w:rFonts w:ascii="Arial Narrow" w:eastAsia="Times New Roman" w:hAnsi="Arial Narrow" w:cs="Times New Roman"/>
          <w:b/>
          <w:bCs/>
          <w:color w:val="000000"/>
          <w:sz w:val="24"/>
          <w:szCs w:val="24"/>
          <w:lang w:eastAsia="cs-CZ" w:bidi="cs-CZ"/>
        </w:rPr>
        <w:t xml:space="preserve">podle Budapešťské Úmluvy </w:t>
      </w:r>
      <w:hyperlink r:id="rId10" w:history="1">
        <w:r w:rsidRPr="00463867">
          <w:rPr>
            <w:rFonts w:ascii="Arial Narrow" w:eastAsia="Times New Roman" w:hAnsi="Arial Narrow" w:cs="Times New Roman"/>
            <w:color w:val="000000"/>
            <w:sz w:val="24"/>
            <w:szCs w:val="24"/>
            <w:lang w:eastAsia="cs-CZ" w:bidi="cs-CZ"/>
          </w:rPr>
          <w:t>(Úmluva Rady Evropy</w:t>
        </w:r>
      </w:hyperlink>
      <w:r w:rsidRPr="00463867">
        <w:rPr>
          <w:rFonts w:ascii="Arial Narrow" w:eastAsia="Times New Roman" w:hAnsi="Arial Narrow" w:cs="Times New Roman"/>
          <w:color w:val="000000"/>
          <w:sz w:val="24"/>
          <w:szCs w:val="24"/>
          <w:lang w:eastAsia="cs-CZ" w:bidi="cs-CZ"/>
        </w:rPr>
        <w:t xml:space="preserve"> </w:t>
      </w:r>
      <w:hyperlink r:id="rId11" w:history="1">
        <w:r w:rsidRPr="00463867">
          <w:rPr>
            <w:rFonts w:ascii="Arial Narrow" w:eastAsia="Times New Roman" w:hAnsi="Arial Narrow" w:cs="Times New Roman"/>
            <w:color w:val="000000"/>
            <w:sz w:val="24"/>
            <w:szCs w:val="24"/>
            <w:lang w:eastAsia="cs-CZ" w:bidi="cs-CZ"/>
          </w:rPr>
          <w:t xml:space="preserve">o kyberkriminalitě </w:t>
        </w:r>
      </w:hyperlink>
      <w:r w:rsidRPr="00463867">
        <w:rPr>
          <w:rFonts w:ascii="Arial Narrow" w:eastAsia="Times New Roman" w:hAnsi="Arial Narrow" w:cs="Times New Roman"/>
          <w:color w:val="000000"/>
          <w:sz w:val="24"/>
          <w:szCs w:val="24"/>
          <w:lang w:eastAsia="cs-CZ" w:bidi="cs-CZ"/>
        </w:rPr>
        <w:t>- mezinárodní dohoda z roku 2001 pro harmonizaci národních právních systémů v oblasti počítačové a internetové kriminality) na:</w:t>
      </w:r>
    </w:p>
    <w:p w14:paraId="44F5F88B" w14:textId="77777777" w:rsidR="00551321" w:rsidRPr="00463867" w:rsidRDefault="00551321" w:rsidP="00551321">
      <w:pPr>
        <w:widowControl w:val="0"/>
        <w:numPr>
          <w:ilvl w:val="0"/>
          <w:numId w:val="9"/>
        </w:numPr>
        <w:tabs>
          <w:tab w:val="left" w:pos="738"/>
        </w:tabs>
        <w:spacing w:after="100" w:line="240" w:lineRule="auto"/>
        <w:ind w:firstLine="38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trestné činy proti důvěrnosti, integritě a dostupnosti počítačových dat a systémů,</w:t>
      </w:r>
    </w:p>
    <w:p w14:paraId="2B4CCE21" w14:textId="77777777" w:rsidR="00551321" w:rsidRPr="00463867" w:rsidRDefault="00551321" w:rsidP="00551321">
      <w:pPr>
        <w:widowControl w:val="0"/>
        <w:numPr>
          <w:ilvl w:val="0"/>
          <w:numId w:val="9"/>
        </w:numPr>
        <w:tabs>
          <w:tab w:val="left" w:pos="738"/>
        </w:tabs>
        <w:spacing w:after="100" w:line="240" w:lineRule="auto"/>
        <w:ind w:firstLine="38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trestné činy související s počítači,</w:t>
      </w:r>
    </w:p>
    <w:p w14:paraId="3C8C9577" w14:textId="77777777" w:rsidR="00551321" w:rsidRPr="00463867" w:rsidRDefault="00551321" w:rsidP="00551321">
      <w:pPr>
        <w:widowControl w:val="0"/>
        <w:numPr>
          <w:ilvl w:val="0"/>
          <w:numId w:val="9"/>
        </w:numPr>
        <w:tabs>
          <w:tab w:val="left" w:pos="738"/>
        </w:tabs>
        <w:spacing w:after="100" w:line="240" w:lineRule="auto"/>
        <w:ind w:firstLine="38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trestné činy související s obsahem, zejména s dětskou pornografií,</w:t>
      </w:r>
    </w:p>
    <w:p w14:paraId="784EC906" w14:textId="77777777" w:rsidR="00551321" w:rsidRPr="00463867" w:rsidRDefault="00551321" w:rsidP="00551321">
      <w:pPr>
        <w:widowControl w:val="0"/>
        <w:numPr>
          <w:ilvl w:val="0"/>
          <w:numId w:val="9"/>
        </w:numPr>
        <w:tabs>
          <w:tab w:val="left" w:pos="738"/>
        </w:tabs>
        <w:spacing w:after="100" w:line="240" w:lineRule="auto"/>
        <w:ind w:left="740" w:hanging="36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trestné činy související s porušením autorského práva a práv příbuzných autorskému právu</w:t>
      </w:r>
    </w:p>
    <w:p w14:paraId="0182E05F"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Tento výčet v sobě zahrnuje pouze ta jednání, v nichž počítač vystupuje jako přímý či nepřímý prostředek páchání trestné činnosti. Zcela logicky sem nespadají jednání, při kterých sice bylo využito počítače nebo jemu podobných zařízení, avšak tato nebyla pro dokonání trestného činu nezbytná, nicméně přispěla určitou měrou k zefektivnění a ulehčení postupu pachatelů.</w:t>
      </w:r>
    </w:p>
    <w:p w14:paraId="14E6534A"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Závršník</w:t>
      </w:r>
      <w:r w:rsidRPr="00463867">
        <w:rPr>
          <w:rFonts w:ascii="Arial Narrow" w:eastAsia="Calibri" w:hAnsi="Arial Narrow" w:cs="Calibri"/>
          <w:color w:val="000000"/>
          <w:sz w:val="16"/>
          <w:szCs w:val="16"/>
          <w:vertAlign w:val="superscript"/>
          <w:lang w:eastAsia="cs-CZ" w:bidi="cs-CZ"/>
        </w:rPr>
        <w:t>11</w:t>
      </w:r>
      <w:r w:rsidRPr="00463867">
        <w:rPr>
          <w:rFonts w:ascii="Arial Narrow" w:eastAsia="Calibri" w:hAnsi="Arial Narrow" w:cs="Calibri"/>
          <w:color w:val="000000"/>
          <w:sz w:val="16"/>
          <w:szCs w:val="16"/>
          <w:lang w:eastAsia="cs-CZ" w:bidi="cs-CZ"/>
        </w:rPr>
        <w:t xml:space="preserve"> </w:t>
      </w:r>
      <w:r w:rsidRPr="00463867">
        <w:rPr>
          <w:rFonts w:ascii="Arial Narrow" w:eastAsia="Times New Roman" w:hAnsi="Arial Narrow" w:cs="Times New Roman"/>
          <w:color w:val="000000"/>
          <w:sz w:val="24"/>
          <w:szCs w:val="24"/>
          <w:lang w:eastAsia="cs-CZ" w:bidi="cs-CZ"/>
        </w:rPr>
        <w:t>tuto klasifikaci velmi zdařile dále modifikuje pro účely kybernetické kriminality. Tímto způsobem vymezil tři kategorie kybernetické kriminality, a to:</w:t>
      </w:r>
    </w:p>
    <w:p w14:paraId="6315E8E4" w14:textId="77777777" w:rsidR="00551321" w:rsidRPr="00463867" w:rsidRDefault="00551321" w:rsidP="00551321">
      <w:pPr>
        <w:widowControl w:val="0"/>
        <w:numPr>
          <w:ilvl w:val="0"/>
          <w:numId w:val="10"/>
        </w:numPr>
        <w:tabs>
          <w:tab w:val="left" w:pos="738"/>
        </w:tabs>
        <w:spacing w:after="100" w:line="240" w:lineRule="auto"/>
        <w:ind w:firstLine="38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kyberkriminalitu spojenou s integritou informačního systému a dat,</w:t>
      </w:r>
    </w:p>
    <w:p w14:paraId="5A946235" w14:textId="77777777" w:rsidR="00551321" w:rsidRPr="00463867" w:rsidRDefault="00551321" w:rsidP="00551321">
      <w:pPr>
        <w:widowControl w:val="0"/>
        <w:numPr>
          <w:ilvl w:val="0"/>
          <w:numId w:val="10"/>
        </w:numPr>
        <w:tabs>
          <w:tab w:val="left" w:pos="738"/>
        </w:tabs>
        <w:spacing w:after="100" w:line="240" w:lineRule="auto"/>
        <w:ind w:firstLine="38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kyberkriminalitu spojenou s obsahem a</w:t>
      </w:r>
    </w:p>
    <w:p w14:paraId="098878A7" w14:textId="77777777" w:rsidR="00551321" w:rsidRPr="00463867" w:rsidRDefault="00551321" w:rsidP="00551321">
      <w:pPr>
        <w:widowControl w:val="0"/>
        <w:numPr>
          <w:ilvl w:val="0"/>
          <w:numId w:val="10"/>
        </w:numPr>
        <w:tabs>
          <w:tab w:val="left" w:pos="738"/>
        </w:tabs>
        <w:spacing w:after="100" w:line="240" w:lineRule="auto"/>
        <w:ind w:firstLine="38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kyberkriminalitu spojenou s počítači.</w:t>
      </w:r>
    </w:p>
    <w:p w14:paraId="538959A3"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Dalším v dostupné literatuře uváděným členěním je členění kyberkriminality </w:t>
      </w:r>
      <w:r w:rsidRPr="00463867">
        <w:rPr>
          <w:rFonts w:ascii="Arial Narrow" w:eastAsia="Times New Roman" w:hAnsi="Arial Narrow" w:cs="Times New Roman"/>
          <w:b/>
          <w:bCs/>
          <w:color w:val="000000"/>
          <w:sz w:val="24"/>
          <w:szCs w:val="24"/>
          <w:lang w:eastAsia="cs-CZ" w:bidi="cs-CZ"/>
        </w:rPr>
        <w:t xml:space="preserve">podle Samuela C. McQuade </w:t>
      </w:r>
      <w:r w:rsidRPr="00463867">
        <w:rPr>
          <w:rFonts w:ascii="Arial Narrow" w:eastAsia="Times New Roman" w:hAnsi="Arial Narrow" w:cs="Times New Roman"/>
          <w:color w:val="000000"/>
          <w:sz w:val="24"/>
          <w:szCs w:val="24"/>
          <w:lang w:eastAsia="cs-CZ" w:bidi="cs-CZ"/>
        </w:rPr>
        <w:t>(řídícího profesora a koordinátora programu pro bezpečnost podnikání RIT) na:</w:t>
      </w:r>
    </w:p>
    <w:p w14:paraId="57409A2E" w14:textId="77777777" w:rsidR="00551321" w:rsidRPr="00463867" w:rsidRDefault="00551321" w:rsidP="00551321">
      <w:pPr>
        <w:widowControl w:val="0"/>
        <w:numPr>
          <w:ilvl w:val="0"/>
          <w:numId w:val="11"/>
        </w:numPr>
        <w:tabs>
          <w:tab w:val="left" w:pos="738"/>
        </w:tabs>
        <w:spacing w:after="100" w:line="240" w:lineRule="auto"/>
        <w:ind w:firstLine="38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Zločin s využitím počítače - protiprávní jednání, pro jehož spáchání byl užitečný </w:t>
      </w:r>
      <w:r w:rsidRPr="00463867">
        <w:rPr>
          <w:rFonts w:ascii="Arial Narrow" w:eastAsia="Times New Roman" w:hAnsi="Arial Narrow" w:cs="Times New Roman"/>
          <w:color w:val="000000"/>
          <w:sz w:val="24"/>
          <w:szCs w:val="24"/>
          <w:vertAlign w:val="superscript"/>
          <w:lang w:eastAsia="cs-CZ" w:bidi="cs-CZ"/>
        </w:rPr>
        <w:footnoteReference w:id="11"/>
      </w:r>
    </w:p>
    <w:p w14:paraId="6467B9FD" w14:textId="77777777" w:rsidR="00551321" w:rsidRPr="00463867" w:rsidRDefault="00551321" w:rsidP="00551321">
      <w:pPr>
        <w:widowControl w:val="0"/>
        <w:spacing w:after="100" w:line="240" w:lineRule="auto"/>
        <w:ind w:firstLine="72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jeden nebo více počítačů, avšak tyto počítače nebyly pro dokonání nezbytné.</w:t>
      </w:r>
    </w:p>
    <w:p w14:paraId="7A571299" w14:textId="77777777" w:rsidR="00551321" w:rsidRPr="00463867" w:rsidRDefault="00551321" w:rsidP="00551321">
      <w:pPr>
        <w:widowControl w:val="0"/>
        <w:numPr>
          <w:ilvl w:val="0"/>
          <w:numId w:val="11"/>
        </w:numPr>
        <w:tabs>
          <w:tab w:val="left" w:pos="732"/>
        </w:tabs>
        <w:spacing w:after="100" w:line="240" w:lineRule="auto"/>
        <w:ind w:left="720" w:hanging="3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Počítačový zločin - protiprávní jednání, pro jehož spáchání a dokonání bylo zapotřebí použít jednoho nebo více počítačů.</w:t>
      </w:r>
    </w:p>
    <w:p w14:paraId="797162CD" w14:textId="77777777" w:rsidR="00551321" w:rsidRPr="00463867" w:rsidRDefault="00551321" w:rsidP="00551321">
      <w:pPr>
        <w:widowControl w:val="0"/>
        <w:numPr>
          <w:ilvl w:val="0"/>
          <w:numId w:val="11"/>
        </w:numPr>
        <w:tabs>
          <w:tab w:val="left" w:pos="732"/>
        </w:tabs>
        <w:spacing w:after="100" w:line="240" w:lineRule="auto"/>
        <w:ind w:left="720" w:hanging="3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Zneužití počítače - použití počítače takovým způsobem, který je schopen přivodit újmu jednotlivci, </w:t>
      </w:r>
      <w:r w:rsidRPr="00463867">
        <w:rPr>
          <w:rFonts w:ascii="Arial Narrow" w:eastAsia="Times New Roman" w:hAnsi="Arial Narrow" w:cs="Times New Roman"/>
          <w:color w:val="000000"/>
          <w:sz w:val="24"/>
          <w:szCs w:val="24"/>
          <w:lang w:eastAsia="cs-CZ" w:bidi="cs-CZ"/>
        </w:rPr>
        <w:lastRenderedPageBreak/>
        <w:t>skupině či organizaci, a který může současně narušovat zavedená pravidla nebo procedury. Při zneužití počítače nicméně nemusí nastat taková míra společenské škodlivosti, která by vedla k porušení trestních předpisů.</w:t>
      </w:r>
    </w:p>
    <w:p w14:paraId="0DE84FFB" w14:textId="77777777" w:rsidR="00551321" w:rsidRPr="00463867" w:rsidRDefault="00551321" w:rsidP="00551321">
      <w:pPr>
        <w:widowControl w:val="0"/>
        <w:numPr>
          <w:ilvl w:val="0"/>
          <w:numId w:val="11"/>
        </w:numPr>
        <w:tabs>
          <w:tab w:val="left" w:pos="732"/>
        </w:tabs>
        <w:spacing w:after="520" w:line="233" w:lineRule="auto"/>
        <w:ind w:left="720" w:hanging="340"/>
        <w:jc w:val="both"/>
        <w:rPr>
          <w:rFonts w:ascii="Arial Narrow" w:eastAsia="Times New Roman" w:hAnsi="Arial Narrow" w:cs="Times New Roman"/>
          <w:sz w:val="16"/>
          <w:szCs w:val="16"/>
          <w:lang w:eastAsia="cs-CZ" w:bidi="cs-CZ"/>
        </w:rPr>
      </w:pPr>
      <w:r w:rsidRPr="00463867">
        <w:rPr>
          <w:rFonts w:ascii="Arial Narrow" w:eastAsia="Times New Roman" w:hAnsi="Arial Narrow" w:cs="Times New Roman"/>
          <w:color w:val="000000"/>
          <w:sz w:val="24"/>
          <w:szCs w:val="24"/>
          <w:lang w:eastAsia="cs-CZ" w:bidi="cs-CZ"/>
        </w:rPr>
        <w:t>Počítač jako nástroj deviace - tím je myšleno takové chování, které využívá počítačová nebo telekomunikační zařízení jako nástroj k porušování sociálních norem, mnohdy až s trestněprávním přesahem.</w:t>
      </w:r>
      <w:r w:rsidRPr="00463867">
        <w:rPr>
          <w:rFonts w:ascii="Arial Narrow" w:eastAsia="Calibri" w:hAnsi="Arial Narrow" w:cs="Calibri"/>
          <w:color w:val="000000"/>
          <w:sz w:val="16"/>
          <w:szCs w:val="16"/>
          <w:vertAlign w:val="superscript"/>
          <w:lang w:eastAsia="cs-CZ" w:bidi="cs-CZ"/>
        </w:rPr>
        <w:footnoteReference w:id="12"/>
      </w:r>
    </w:p>
    <w:p w14:paraId="24510D41" w14:textId="77777777" w:rsidR="00551321" w:rsidRPr="00463867" w:rsidRDefault="00551321" w:rsidP="00551321">
      <w:pPr>
        <w:keepNext/>
        <w:keepLines/>
        <w:widowControl w:val="0"/>
        <w:numPr>
          <w:ilvl w:val="0"/>
          <w:numId w:val="2"/>
        </w:numPr>
        <w:tabs>
          <w:tab w:val="left" w:pos="427"/>
        </w:tabs>
        <w:spacing w:after="100" w:line="240" w:lineRule="auto"/>
        <w:jc w:val="both"/>
        <w:outlineLvl w:val="4"/>
        <w:rPr>
          <w:rFonts w:ascii="Arial Narrow" w:eastAsia="Times New Roman" w:hAnsi="Arial Narrow" w:cs="Times New Roman"/>
          <w:b/>
          <w:bCs/>
          <w:sz w:val="24"/>
          <w:szCs w:val="24"/>
          <w:lang w:eastAsia="cs-CZ" w:bidi="cs-CZ"/>
        </w:rPr>
      </w:pPr>
      <w:bookmarkStart w:id="6" w:name="bookmark948"/>
      <w:bookmarkStart w:id="7" w:name="bookmark949"/>
      <w:r w:rsidRPr="00463867">
        <w:rPr>
          <w:rFonts w:ascii="Arial Narrow" w:eastAsia="Times New Roman" w:hAnsi="Arial Narrow" w:cs="Times New Roman"/>
          <w:b/>
          <w:bCs/>
          <w:color w:val="000000"/>
          <w:sz w:val="24"/>
          <w:szCs w:val="24"/>
          <w:lang w:eastAsia="cs-CZ" w:bidi="cs-CZ"/>
        </w:rPr>
        <w:t>PRÁVNÍ ÚPRAVA KYBERKRIMINALITYY</w:t>
      </w:r>
      <w:bookmarkEnd w:id="6"/>
      <w:bookmarkEnd w:id="7"/>
    </w:p>
    <w:p w14:paraId="54762B83" w14:textId="3D58993B"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Příchod kybernetické kriminality vyžadoval </w:t>
      </w:r>
      <w:r w:rsidR="00463867">
        <w:rPr>
          <w:rFonts w:ascii="Arial Narrow" w:eastAsia="Times New Roman" w:hAnsi="Arial Narrow" w:cs="Times New Roman"/>
          <w:color w:val="000000"/>
          <w:sz w:val="24"/>
          <w:szCs w:val="24"/>
          <w:lang w:eastAsia="cs-CZ" w:bidi="cs-CZ"/>
        </w:rPr>
        <w:t>právní</w:t>
      </w:r>
      <w:r w:rsidRPr="00463867">
        <w:rPr>
          <w:rFonts w:ascii="Arial Narrow" w:eastAsia="Times New Roman" w:hAnsi="Arial Narrow" w:cs="Times New Roman"/>
          <w:color w:val="000000"/>
          <w:sz w:val="24"/>
          <w:szCs w:val="24"/>
          <w:lang w:eastAsia="cs-CZ" w:bidi="cs-CZ"/>
        </w:rPr>
        <w:t xml:space="preserve"> změny. Trestněprávní úprava se však ukázala obtížnou, protože v případě kybernetické kriminality je třeba navíc vzít v úvahu, že ochrana tradičními právními prostředky nepostačuje, neboť</w:t>
      </w:r>
    </w:p>
    <w:p w14:paraId="54702392" w14:textId="77777777" w:rsidR="00551321" w:rsidRPr="00463867" w:rsidRDefault="00551321" w:rsidP="00551321">
      <w:pPr>
        <w:widowControl w:val="0"/>
        <w:numPr>
          <w:ilvl w:val="0"/>
          <w:numId w:val="1"/>
        </w:numPr>
        <w:tabs>
          <w:tab w:val="left" w:pos="732"/>
        </w:tabs>
        <w:spacing w:after="100" w:line="240" w:lineRule="auto"/>
        <w:ind w:firstLine="38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nové jevy nejsou ve většině případů postižitelné starými normami,</w:t>
      </w:r>
    </w:p>
    <w:p w14:paraId="6D116FDA" w14:textId="77777777" w:rsidR="00551321" w:rsidRPr="00463867" w:rsidRDefault="00551321" w:rsidP="00551321">
      <w:pPr>
        <w:widowControl w:val="0"/>
        <w:numPr>
          <w:ilvl w:val="0"/>
          <w:numId w:val="1"/>
        </w:numPr>
        <w:tabs>
          <w:tab w:val="left" w:pos="732"/>
        </w:tabs>
        <w:spacing w:after="100" w:line="240" w:lineRule="auto"/>
        <w:ind w:left="720" w:hanging="3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působnost trestněprávních norem je omezena, neboť trestní právo je projevem státní suverenity,</w:t>
      </w:r>
    </w:p>
    <w:p w14:paraId="50FCF9E7" w14:textId="77777777" w:rsidR="00551321" w:rsidRPr="00463867" w:rsidRDefault="00551321" w:rsidP="00551321">
      <w:pPr>
        <w:widowControl w:val="0"/>
        <w:numPr>
          <w:ilvl w:val="0"/>
          <w:numId w:val="1"/>
        </w:numPr>
        <w:tabs>
          <w:tab w:val="left" w:pos="732"/>
        </w:tabs>
        <w:spacing w:after="100" w:line="240" w:lineRule="auto"/>
        <w:ind w:firstLine="38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dochází k překrývání jurisdikcí jednotlivých států.</w:t>
      </w:r>
    </w:p>
    <w:p w14:paraId="140BE890" w14:textId="12A3F915"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V současné době není právní úprava v oblasti kybernetické kriminality koncepční ani v rámci evropské </w:t>
      </w:r>
      <w:r w:rsidR="00463867">
        <w:rPr>
          <w:rFonts w:ascii="Arial Narrow" w:eastAsia="Times New Roman" w:hAnsi="Arial Narrow" w:cs="Times New Roman"/>
          <w:color w:val="000000"/>
          <w:sz w:val="24"/>
          <w:szCs w:val="24"/>
          <w:lang w:eastAsia="cs-CZ" w:bidi="cs-CZ"/>
        </w:rPr>
        <w:t>právní regulace</w:t>
      </w:r>
      <w:r w:rsidRPr="00463867">
        <w:rPr>
          <w:rFonts w:ascii="Arial Narrow" w:eastAsia="Times New Roman" w:hAnsi="Arial Narrow" w:cs="Times New Roman"/>
          <w:color w:val="000000"/>
          <w:sz w:val="24"/>
          <w:szCs w:val="24"/>
          <w:lang w:eastAsia="cs-CZ" w:bidi="cs-CZ"/>
        </w:rPr>
        <w:t>, a jinak tomu není ani v České republice.</w:t>
      </w:r>
    </w:p>
    <w:p w14:paraId="27E5A764"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Nekoncepčnost je způsobena více příčinami, zejména však</w:t>
      </w:r>
    </w:p>
    <w:p w14:paraId="30538151" w14:textId="2F30C076" w:rsidR="00551321" w:rsidRPr="00463867" w:rsidRDefault="00551321" w:rsidP="00551321">
      <w:pPr>
        <w:widowControl w:val="0"/>
        <w:numPr>
          <w:ilvl w:val="0"/>
          <w:numId w:val="12"/>
        </w:numPr>
        <w:tabs>
          <w:tab w:val="left" w:pos="732"/>
        </w:tabs>
        <w:spacing w:after="100" w:line="240" w:lineRule="auto"/>
        <w:ind w:left="720" w:hanging="3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b/>
          <w:bCs/>
          <w:color w:val="000000"/>
          <w:sz w:val="24"/>
          <w:szCs w:val="24"/>
          <w:lang w:eastAsia="cs-CZ" w:bidi="cs-CZ"/>
        </w:rPr>
        <w:t xml:space="preserve">Problémy s vlastní definicí kybekriminality </w:t>
      </w:r>
      <w:r w:rsidRPr="00463867">
        <w:rPr>
          <w:rFonts w:ascii="Arial Narrow" w:eastAsia="Times New Roman" w:hAnsi="Arial Narrow" w:cs="Times New Roman"/>
          <w:color w:val="000000"/>
          <w:sz w:val="24"/>
          <w:szCs w:val="24"/>
          <w:lang w:eastAsia="cs-CZ" w:bidi="cs-CZ"/>
        </w:rPr>
        <w:t xml:space="preserve">- právní normy taxativně </w:t>
      </w:r>
      <w:r w:rsidR="006D5619" w:rsidRPr="00463867">
        <w:rPr>
          <w:rFonts w:ascii="Arial Narrow" w:eastAsia="Times New Roman" w:hAnsi="Arial Narrow" w:cs="Times New Roman"/>
          <w:color w:val="000000"/>
          <w:sz w:val="24"/>
          <w:szCs w:val="24"/>
          <w:lang w:eastAsia="cs-CZ" w:bidi="cs-CZ"/>
        </w:rPr>
        <w:t>nevyjmenovávají</w:t>
      </w:r>
      <w:r w:rsidRPr="00463867">
        <w:rPr>
          <w:rFonts w:ascii="Arial Narrow" w:eastAsia="Times New Roman" w:hAnsi="Arial Narrow" w:cs="Times New Roman"/>
          <w:color w:val="000000"/>
          <w:sz w:val="24"/>
          <w:szCs w:val="24"/>
          <w:lang w:eastAsia="cs-CZ" w:bidi="cs-CZ"/>
        </w:rPr>
        <w:t xml:space="preserve"> všechny druhy nezákonného jednání.</w:t>
      </w:r>
    </w:p>
    <w:p w14:paraId="0E94E00A" w14:textId="77777777" w:rsidR="00551321" w:rsidRPr="00463867" w:rsidRDefault="00551321" w:rsidP="00551321">
      <w:pPr>
        <w:widowControl w:val="0"/>
        <w:numPr>
          <w:ilvl w:val="0"/>
          <w:numId w:val="12"/>
        </w:numPr>
        <w:tabs>
          <w:tab w:val="left" w:pos="732"/>
        </w:tabs>
        <w:spacing w:after="100" w:line="240" w:lineRule="auto"/>
        <w:ind w:left="720" w:hanging="3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b/>
          <w:bCs/>
          <w:color w:val="000000"/>
          <w:sz w:val="24"/>
          <w:szCs w:val="24"/>
          <w:lang w:eastAsia="cs-CZ" w:bidi="cs-CZ"/>
        </w:rPr>
        <w:t xml:space="preserve">Nedostatkem vůle a kvalifikace zákonodárce - </w:t>
      </w:r>
      <w:r w:rsidRPr="00463867">
        <w:rPr>
          <w:rFonts w:ascii="Arial Narrow" w:eastAsia="Times New Roman" w:hAnsi="Arial Narrow" w:cs="Times New Roman"/>
          <w:color w:val="000000"/>
          <w:sz w:val="24"/>
          <w:szCs w:val="24"/>
          <w:lang w:eastAsia="cs-CZ" w:bidi="cs-CZ"/>
        </w:rPr>
        <w:t>problém, jak pojmenovat a definovat jednotlivá jednání, a jakým způsobem má být ta či ona problematika upravena. Nestačí jen vůle zákonodárců, ale je třeba i jejich odpovídající vzdělání a schopnost porozumět problému, který se zákonem snaží regulovat, což není v tak specifické oblasti jednoduché.</w:t>
      </w:r>
    </w:p>
    <w:p w14:paraId="00638A6C" w14:textId="77777777" w:rsidR="00551321" w:rsidRPr="00463867" w:rsidRDefault="00551321" w:rsidP="00551321">
      <w:pPr>
        <w:widowControl w:val="0"/>
        <w:numPr>
          <w:ilvl w:val="0"/>
          <w:numId w:val="12"/>
        </w:numPr>
        <w:tabs>
          <w:tab w:val="left" w:pos="732"/>
        </w:tabs>
        <w:spacing w:after="520" w:line="240" w:lineRule="auto"/>
        <w:ind w:left="720" w:hanging="3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b/>
          <w:bCs/>
          <w:color w:val="000000"/>
          <w:sz w:val="24"/>
          <w:szCs w:val="24"/>
          <w:lang w:eastAsia="cs-CZ" w:bidi="cs-CZ"/>
        </w:rPr>
        <w:t xml:space="preserve">Rychlostí legislativního procesu, </w:t>
      </w:r>
      <w:r w:rsidRPr="00463867">
        <w:rPr>
          <w:rFonts w:ascii="Arial Narrow" w:eastAsia="Times New Roman" w:hAnsi="Arial Narrow" w:cs="Times New Roman"/>
          <w:color w:val="000000"/>
          <w:sz w:val="24"/>
          <w:szCs w:val="24"/>
          <w:lang w:eastAsia="cs-CZ" w:bidi="cs-CZ"/>
        </w:rPr>
        <w:t>který nestačí dynamickému vývoji kyberkriminality. V takto dynamickém prostředí je aplikace trestněprávních předpisů přinejmenším obtížná.</w:t>
      </w:r>
    </w:p>
    <w:p w14:paraId="05C1F9D9" w14:textId="77777777" w:rsidR="00551321" w:rsidRPr="00463867" w:rsidRDefault="00551321" w:rsidP="00551321">
      <w:pPr>
        <w:keepNext/>
        <w:keepLines/>
        <w:widowControl w:val="0"/>
        <w:numPr>
          <w:ilvl w:val="1"/>
          <w:numId w:val="12"/>
        </w:numPr>
        <w:tabs>
          <w:tab w:val="left" w:pos="456"/>
        </w:tabs>
        <w:spacing w:after="100" w:line="240" w:lineRule="auto"/>
        <w:jc w:val="both"/>
        <w:outlineLvl w:val="4"/>
        <w:rPr>
          <w:rFonts w:ascii="Arial Narrow" w:eastAsia="Times New Roman" w:hAnsi="Arial Narrow" w:cs="Times New Roman"/>
          <w:b/>
          <w:bCs/>
          <w:sz w:val="24"/>
          <w:szCs w:val="24"/>
          <w:lang w:eastAsia="cs-CZ" w:bidi="cs-CZ"/>
        </w:rPr>
      </w:pPr>
      <w:bookmarkStart w:id="8" w:name="bookmark950"/>
      <w:bookmarkStart w:id="9" w:name="bookmark951"/>
      <w:r w:rsidRPr="00463867">
        <w:rPr>
          <w:rFonts w:ascii="Arial Narrow" w:eastAsia="Times New Roman" w:hAnsi="Arial Narrow" w:cs="Times New Roman"/>
          <w:b/>
          <w:bCs/>
          <w:color w:val="000000"/>
          <w:sz w:val="24"/>
          <w:szCs w:val="24"/>
          <w:lang w:eastAsia="cs-CZ" w:bidi="cs-CZ"/>
        </w:rPr>
        <w:t>Mezinárodní právní úprava</w:t>
      </w:r>
      <w:bookmarkEnd w:id="8"/>
      <w:bookmarkEnd w:id="9"/>
    </w:p>
    <w:p w14:paraId="7D9ABE8A" w14:textId="0BECE7BF"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První reakcí na kyberkriminalitu byl </w:t>
      </w:r>
      <w:r w:rsidRPr="00463867">
        <w:rPr>
          <w:rFonts w:ascii="Arial Narrow" w:eastAsia="Times New Roman" w:hAnsi="Arial Narrow" w:cs="Times New Roman"/>
          <w:b/>
          <w:bCs/>
          <w:color w:val="000000"/>
          <w:sz w:val="24"/>
          <w:szCs w:val="24"/>
          <w:lang w:eastAsia="cs-CZ" w:bidi="cs-CZ"/>
        </w:rPr>
        <w:t xml:space="preserve">Manuál OSN o prevenci a kontrole trestných činů spojených s počítači </w:t>
      </w:r>
      <w:r w:rsidRPr="00463867">
        <w:rPr>
          <w:rFonts w:ascii="Arial Narrow" w:eastAsia="Times New Roman" w:hAnsi="Arial Narrow" w:cs="Times New Roman"/>
          <w:color w:val="000000"/>
          <w:sz w:val="24"/>
          <w:szCs w:val="24"/>
          <w:lang w:eastAsia="cs-CZ" w:bidi="cs-CZ"/>
        </w:rPr>
        <w:t>z roku 1990</w:t>
      </w:r>
      <w:r w:rsidRPr="00463867">
        <w:rPr>
          <w:rFonts w:ascii="Arial Narrow" w:eastAsia="Times New Roman" w:hAnsi="Arial Narrow" w:cs="Times New Roman"/>
          <w:b/>
          <w:bCs/>
          <w:color w:val="000000"/>
          <w:sz w:val="24"/>
          <w:szCs w:val="24"/>
          <w:lang w:eastAsia="cs-CZ" w:bidi="cs-CZ"/>
        </w:rPr>
        <w:t xml:space="preserve">, </w:t>
      </w:r>
      <w:r w:rsidRPr="00463867">
        <w:rPr>
          <w:rFonts w:ascii="Arial Narrow" w:eastAsia="Times New Roman" w:hAnsi="Arial Narrow" w:cs="Times New Roman"/>
          <w:color w:val="000000"/>
          <w:sz w:val="24"/>
          <w:szCs w:val="24"/>
          <w:lang w:eastAsia="cs-CZ" w:bidi="cs-CZ"/>
        </w:rPr>
        <w:t>který upozor</w:t>
      </w:r>
      <w:r w:rsidR="00645097">
        <w:rPr>
          <w:rFonts w:ascii="Arial Narrow" w:eastAsia="Times New Roman" w:hAnsi="Arial Narrow" w:cs="Times New Roman"/>
          <w:color w:val="000000"/>
          <w:sz w:val="24"/>
          <w:szCs w:val="24"/>
          <w:lang w:eastAsia="cs-CZ" w:bidi="cs-CZ"/>
        </w:rPr>
        <w:t xml:space="preserve">nil na </w:t>
      </w:r>
      <w:r w:rsidRPr="00463867">
        <w:rPr>
          <w:rFonts w:ascii="Arial Narrow" w:eastAsia="Times New Roman" w:hAnsi="Arial Narrow" w:cs="Times New Roman"/>
          <w:color w:val="000000"/>
          <w:sz w:val="24"/>
          <w:szCs w:val="24"/>
          <w:lang w:eastAsia="cs-CZ" w:bidi="cs-CZ"/>
        </w:rPr>
        <w:t xml:space="preserve">nepřipravenost států vůči novým technologiím </w:t>
      </w:r>
      <w:r w:rsidR="00645097">
        <w:rPr>
          <w:rFonts w:ascii="Arial Narrow" w:eastAsia="Times New Roman" w:hAnsi="Arial Narrow" w:cs="Times New Roman"/>
          <w:color w:val="000000"/>
          <w:sz w:val="24"/>
          <w:szCs w:val="24"/>
          <w:lang w:eastAsia="cs-CZ" w:bidi="cs-CZ"/>
        </w:rPr>
        <w:t>v oblasti právní regulace</w:t>
      </w:r>
      <w:r w:rsidR="00FA0086">
        <w:rPr>
          <w:rFonts w:ascii="Arial Narrow" w:eastAsia="Times New Roman" w:hAnsi="Arial Narrow" w:cs="Times New Roman"/>
          <w:color w:val="000000"/>
          <w:sz w:val="24"/>
          <w:szCs w:val="24"/>
          <w:lang w:eastAsia="cs-CZ" w:bidi="cs-CZ"/>
        </w:rPr>
        <w:t xml:space="preserve"> </w:t>
      </w:r>
      <w:r w:rsidRPr="00463867">
        <w:rPr>
          <w:rFonts w:ascii="Arial Narrow" w:eastAsia="Times New Roman" w:hAnsi="Arial Narrow" w:cs="Times New Roman"/>
          <w:color w:val="000000"/>
          <w:sz w:val="24"/>
          <w:szCs w:val="24"/>
          <w:lang w:eastAsia="cs-CZ" w:bidi="cs-CZ"/>
        </w:rPr>
        <w:t>a vyzval státy k mezinárodní spolupráci. Jako přední orgány zabývající se touto problematikou Manuál označil OECD</w:t>
      </w:r>
      <w:r w:rsidRPr="00463867">
        <w:rPr>
          <w:rFonts w:ascii="Arial Narrow" w:eastAsia="Calibri" w:hAnsi="Arial Narrow" w:cs="Calibri"/>
          <w:color w:val="000000"/>
          <w:sz w:val="16"/>
          <w:szCs w:val="16"/>
          <w:vertAlign w:val="superscript"/>
          <w:lang w:eastAsia="cs-CZ" w:bidi="cs-CZ"/>
        </w:rPr>
        <w:footnoteReference w:id="13"/>
      </w:r>
      <w:r w:rsidRPr="00463867">
        <w:rPr>
          <w:rFonts w:ascii="Arial Narrow" w:eastAsia="Times New Roman" w:hAnsi="Arial Narrow" w:cs="Times New Roman"/>
          <w:color w:val="000000"/>
          <w:sz w:val="24"/>
          <w:szCs w:val="24"/>
          <w:lang w:eastAsia="cs-CZ" w:bidi="cs-CZ"/>
        </w:rPr>
        <w:t>, Radu Evropy a právě OSN.</w:t>
      </w:r>
    </w:p>
    <w:p w14:paraId="348CB200" w14:textId="77777777" w:rsidR="00551321" w:rsidRPr="00463867" w:rsidRDefault="00551321" w:rsidP="00551321">
      <w:pPr>
        <w:widowControl w:val="0"/>
        <w:spacing w:after="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V oblasti mezinárodního práva souvisejícího s kybernetickou kriminalitou je v současné době stále nejvýznamnějším dokumentem </w:t>
      </w:r>
      <w:r w:rsidRPr="00463867">
        <w:rPr>
          <w:rFonts w:ascii="Arial Narrow" w:eastAsia="Times New Roman" w:hAnsi="Arial Narrow" w:cs="Times New Roman"/>
          <w:b/>
          <w:bCs/>
          <w:color w:val="000000"/>
          <w:sz w:val="24"/>
          <w:szCs w:val="24"/>
          <w:lang w:eastAsia="cs-CZ" w:bidi="cs-CZ"/>
        </w:rPr>
        <w:t>Úmluva o kybernetické kriminalitě</w:t>
      </w:r>
      <w:r w:rsidRPr="00463867">
        <w:rPr>
          <w:rFonts w:ascii="Arial Narrow" w:eastAsia="Times New Roman" w:hAnsi="Arial Narrow" w:cs="Times New Roman"/>
          <w:color w:val="000000"/>
          <w:sz w:val="24"/>
          <w:szCs w:val="24"/>
          <w:lang w:eastAsia="cs-CZ" w:bidi="cs-CZ"/>
        </w:rPr>
        <w:t>. Úmluva byla schválena Výborem ministrů Rady Evropy na jejím 109. zasedání 8. listopadu 2001 a otevřena k podpisu byla v Budapešti dne 23. listopadu 2001. V platnost vstoupila dne</w:t>
      </w:r>
    </w:p>
    <w:p w14:paraId="1495730F" w14:textId="77777777" w:rsidR="00551321" w:rsidRPr="00463867" w:rsidRDefault="00551321" w:rsidP="00551321">
      <w:pPr>
        <w:widowControl w:val="0"/>
        <w:numPr>
          <w:ilvl w:val="0"/>
          <w:numId w:val="13"/>
        </w:numPr>
        <w:tabs>
          <w:tab w:val="left" w:pos="344"/>
        </w:tabs>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července 2004.</w:t>
      </w:r>
    </w:p>
    <w:p w14:paraId="446BBDBF"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Úmluva o kybernetické kriminalitě neboli Budapešťská úmluva se dělí na Preambuli a čtyři kapitoly, obsahující celkem čtyřicet osm článků. Po úvodních definicích následuje katalog kriminalizovaných činů, které Úmluva dělí do čtyř skupin:</w:t>
      </w:r>
    </w:p>
    <w:p w14:paraId="745B242C" w14:textId="77777777" w:rsidR="00551321" w:rsidRPr="00463867" w:rsidRDefault="00551321" w:rsidP="00551321">
      <w:pPr>
        <w:widowControl w:val="0"/>
        <w:spacing w:after="100" w:line="240" w:lineRule="auto"/>
        <w:ind w:firstLine="38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1. Trestné činy proti důvěrnosti, integritě a dostupnosti počítačových dat a systémů</w:t>
      </w:r>
    </w:p>
    <w:p w14:paraId="67879961" w14:textId="77777777" w:rsidR="00551321" w:rsidRPr="00463867" w:rsidRDefault="00551321" w:rsidP="00551321">
      <w:pPr>
        <w:widowControl w:val="0"/>
        <w:numPr>
          <w:ilvl w:val="0"/>
          <w:numId w:val="14"/>
        </w:numPr>
        <w:tabs>
          <w:tab w:val="left" w:pos="1080"/>
        </w:tabs>
        <w:spacing w:after="100" w:line="240" w:lineRule="auto"/>
        <w:ind w:firstLine="72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lastRenderedPageBreak/>
        <w:t>neoprávněný přístup (čl. 2)</w:t>
      </w:r>
    </w:p>
    <w:p w14:paraId="5813FF92" w14:textId="77777777" w:rsidR="00551321" w:rsidRPr="00463867" w:rsidRDefault="00551321" w:rsidP="00551321">
      <w:pPr>
        <w:widowControl w:val="0"/>
        <w:numPr>
          <w:ilvl w:val="0"/>
          <w:numId w:val="14"/>
        </w:numPr>
        <w:tabs>
          <w:tab w:val="left" w:pos="1084"/>
        </w:tabs>
        <w:spacing w:after="100" w:line="240" w:lineRule="auto"/>
        <w:ind w:firstLine="72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neoprávněné zachycení informací (čl. 3)</w:t>
      </w:r>
    </w:p>
    <w:p w14:paraId="12405C02" w14:textId="77777777" w:rsidR="00551321" w:rsidRPr="00463867" w:rsidRDefault="00551321" w:rsidP="00551321">
      <w:pPr>
        <w:widowControl w:val="0"/>
        <w:numPr>
          <w:ilvl w:val="0"/>
          <w:numId w:val="14"/>
        </w:numPr>
        <w:tabs>
          <w:tab w:val="left" w:pos="1080"/>
        </w:tabs>
        <w:spacing w:after="100" w:line="240" w:lineRule="auto"/>
        <w:ind w:firstLine="72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zásah do dat (čl. 4)</w:t>
      </w:r>
    </w:p>
    <w:p w14:paraId="4A1675A5" w14:textId="77777777" w:rsidR="00551321" w:rsidRPr="00463867" w:rsidRDefault="00551321" w:rsidP="00551321">
      <w:pPr>
        <w:widowControl w:val="0"/>
        <w:numPr>
          <w:ilvl w:val="0"/>
          <w:numId w:val="14"/>
        </w:numPr>
        <w:tabs>
          <w:tab w:val="left" w:pos="1084"/>
        </w:tabs>
        <w:spacing w:after="100" w:line="240" w:lineRule="auto"/>
        <w:ind w:firstLine="72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zásah do systému (čl. 5)</w:t>
      </w:r>
    </w:p>
    <w:p w14:paraId="5AAC0844" w14:textId="77777777" w:rsidR="00551321" w:rsidRPr="00463867" w:rsidRDefault="00551321" w:rsidP="00551321">
      <w:pPr>
        <w:widowControl w:val="0"/>
        <w:numPr>
          <w:ilvl w:val="0"/>
          <w:numId w:val="14"/>
        </w:numPr>
        <w:tabs>
          <w:tab w:val="left" w:pos="1080"/>
        </w:tabs>
        <w:spacing w:after="100" w:line="240" w:lineRule="auto"/>
        <w:ind w:firstLine="72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zneužití zařízení (čl. 6)</w:t>
      </w:r>
    </w:p>
    <w:p w14:paraId="14C603EE" w14:textId="77777777" w:rsidR="00551321" w:rsidRPr="00463867" w:rsidRDefault="00551321" w:rsidP="00551321">
      <w:pPr>
        <w:widowControl w:val="0"/>
        <w:numPr>
          <w:ilvl w:val="0"/>
          <w:numId w:val="13"/>
        </w:numPr>
        <w:tabs>
          <w:tab w:val="left" w:pos="730"/>
        </w:tabs>
        <w:spacing w:after="100" w:line="240" w:lineRule="auto"/>
        <w:ind w:firstLine="38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Trestné činy související s počítači</w:t>
      </w:r>
    </w:p>
    <w:p w14:paraId="0B91722B" w14:textId="77777777" w:rsidR="00551321" w:rsidRPr="00463867" w:rsidRDefault="00551321" w:rsidP="00551321">
      <w:pPr>
        <w:widowControl w:val="0"/>
        <w:numPr>
          <w:ilvl w:val="0"/>
          <w:numId w:val="15"/>
        </w:numPr>
        <w:tabs>
          <w:tab w:val="left" w:pos="1080"/>
        </w:tabs>
        <w:spacing w:after="100" w:line="240" w:lineRule="auto"/>
        <w:ind w:firstLine="72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falšování údajů souvisejících s počítači (čl. 7)</w:t>
      </w:r>
    </w:p>
    <w:p w14:paraId="65D591A4" w14:textId="77777777" w:rsidR="00551321" w:rsidRPr="00463867" w:rsidRDefault="00551321" w:rsidP="00551321">
      <w:pPr>
        <w:widowControl w:val="0"/>
        <w:numPr>
          <w:ilvl w:val="0"/>
          <w:numId w:val="15"/>
        </w:numPr>
        <w:tabs>
          <w:tab w:val="left" w:pos="1084"/>
        </w:tabs>
        <w:spacing w:after="100" w:line="240" w:lineRule="auto"/>
        <w:ind w:firstLine="72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podvod související s počítači (čl. 8)</w:t>
      </w:r>
    </w:p>
    <w:p w14:paraId="4D413F5B" w14:textId="77777777" w:rsidR="00551321" w:rsidRPr="00463867" w:rsidRDefault="00551321" w:rsidP="00551321">
      <w:pPr>
        <w:widowControl w:val="0"/>
        <w:numPr>
          <w:ilvl w:val="0"/>
          <w:numId w:val="13"/>
        </w:numPr>
        <w:tabs>
          <w:tab w:val="left" w:pos="730"/>
        </w:tabs>
        <w:spacing w:after="100" w:line="240" w:lineRule="auto"/>
        <w:ind w:firstLine="38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Trestné činy související s obsahem, zejména s dětskou pornografií (čl. 9)</w:t>
      </w:r>
    </w:p>
    <w:p w14:paraId="5B286CC9" w14:textId="77777777" w:rsidR="00551321" w:rsidRPr="00463867" w:rsidRDefault="00551321" w:rsidP="00551321">
      <w:pPr>
        <w:widowControl w:val="0"/>
        <w:numPr>
          <w:ilvl w:val="0"/>
          <w:numId w:val="13"/>
        </w:numPr>
        <w:tabs>
          <w:tab w:val="left" w:pos="730"/>
        </w:tabs>
        <w:spacing w:after="100" w:line="240" w:lineRule="auto"/>
        <w:ind w:left="720" w:hanging="3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Trestné činy související s porušením autorského práva a práv příbuzných autorskému právu (čl. 10)</w:t>
      </w:r>
    </w:p>
    <w:p w14:paraId="38E235FC"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Tyto skutkové podstaty se staly základem nových skutkových podstat v současném trestním zákoníku. Dále zakotvuje požadavek na úpravu trestní odpovědnosti právnických osob v rámci právních úprav jednotlivých států, které k Úmluvě přistoupily.</w:t>
      </w:r>
    </w:p>
    <w:p w14:paraId="593DCBA7"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Úmluva představuje nejvýznamnější právní dokument týkající se kyberkriminality a jeho cílem je vytvořit mezinárodní právní rámec pro účinné potírání počítačové kriminality prostřednictvím harmonizace prvků skutkových podstat v oblasti počítačové kriminality za účelem zajištění adekvátního postihu pachatelů, stanovení nezbytných vnitrostátních vyšetřovacích pravomocí pro zajišťování důkazů v elektronické formě a vyšetřování počítačové kriminality, jakož i zavedení pohotového a efektivního režimu mezinárodní spolupráce ve vztahu k trestným činům souvisejícím s informačními.</w:t>
      </w:r>
      <w:r w:rsidRPr="00463867">
        <w:rPr>
          <w:rFonts w:ascii="Arial Narrow" w:eastAsia="Calibri" w:hAnsi="Arial Narrow" w:cs="Calibri"/>
          <w:color w:val="000000"/>
          <w:sz w:val="16"/>
          <w:szCs w:val="16"/>
          <w:vertAlign w:val="superscript"/>
          <w:lang w:eastAsia="cs-CZ" w:bidi="cs-CZ"/>
        </w:rPr>
        <w:footnoteReference w:id="14"/>
      </w:r>
      <w:r w:rsidRPr="00463867">
        <w:rPr>
          <w:rFonts w:ascii="Arial Narrow" w:eastAsia="Calibri" w:hAnsi="Arial Narrow" w:cs="Calibri"/>
          <w:color w:val="000000"/>
          <w:sz w:val="16"/>
          <w:szCs w:val="16"/>
          <w:lang w:eastAsia="cs-CZ" w:bidi="cs-CZ"/>
        </w:rPr>
        <w:t xml:space="preserve"> </w:t>
      </w:r>
      <w:r w:rsidRPr="00463867">
        <w:rPr>
          <w:rFonts w:ascii="Arial Narrow" w:eastAsia="Times New Roman" w:hAnsi="Arial Narrow" w:cs="Times New Roman"/>
          <w:color w:val="000000"/>
          <w:sz w:val="24"/>
          <w:szCs w:val="24"/>
          <w:lang w:eastAsia="cs-CZ" w:bidi="cs-CZ"/>
        </w:rPr>
        <w:t>Tzn., že tato úmluva stanoví smluvním stranám povinnost zavést do národních právních řádů takové nástroje, pomocí kterých bude možné postihovat definované kybernetické trestné činy, jejichž taxativní výčet uvádí.</w:t>
      </w:r>
    </w:p>
    <w:p w14:paraId="32BAADF8"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Dne 28. 1. 2003 byl přijat </w:t>
      </w:r>
      <w:r w:rsidRPr="00463867">
        <w:rPr>
          <w:rFonts w:ascii="Arial Narrow" w:eastAsia="Times New Roman" w:hAnsi="Arial Narrow" w:cs="Times New Roman"/>
          <w:b/>
          <w:bCs/>
          <w:color w:val="000000"/>
          <w:sz w:val="24"/>
          <w:szCs w:val="24"/>
          <w:lang w:eastAsia="cs-CZ" w:bidi="cs-CZ"/>
        </w:rPr>
        <w:t>Dodatkový protokol Rady Evropy č. 189 k Úmluvě o kyberkriminalitě.</w:t>
      </w:r>
      <w:r w:rsidRPr="00463867">
        <w:rPr>
          <w:rFonts w:ascii="Arial Narrow" w:eastAsia="Calibri" w:hAnsi="Arial Narrow" w:cs="Calibri"/>
          <w:color w:val="000000"/>
          <w:sz w:val="16"/>
          <w:szCs w:val="16"/>
          <w:vertAlign w:val="superscript"/>
          <w:lang w:eastAsia="cs-CZ" w:bidi="cs-CZ"/>
        </w:rPr>
        <w:footnoteReference w:id="15"/>
      </w:r>
      <w:r w:rsidRPr="00463867">
        <w:rPr>
          <w:rFonts w:ascii="Arial Narrow" w:eastAsia="Times New Roman" w:hAnsi="Arial Narrow" w:cs="Times New Roman"/>
          <w:color w:val="000000"/>
          <w:sz w:val="24"/>
          <w:szCs w:val="24"/>
          <w:lang w:eastAsia="cs-CZ" w:bidi="cs-CZ"/>
        </w:rPr>
        <w:t>Tento dokument definuje okruh trestných činů, kterým se Úmluva o kyberkriminalitě nevěnuje, tj.</w:t>
      </w:r>
    </w:p>
    <w:p w14:paraId="3EB0D6F0" w14:textId="24E91791" w:rsidR="00551321" w:rsidRPr="00645097" w:rsidRDefault="00551321" w:rsidP="00645097">
      <w:pPr>
        <w:pStyle w:val="Odstavecseseznamem"/>
        <w:widowControl w:val="0"/>
        <w:numPr>
          <w:ilvl w:val="0"/>
          <w:numId w:val="27"/>
        </w:numPr>
        <w:spacing w:after="100" w:line="240" w:lineRule="auto"/>
        <w:ind w:left="709"/>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šíření rasistických a xenofobních materiálů,</w:t>
      </w:r>
    </w:p>
    <w:p w14:paraId="213298D8" w14:textId="4F493AE8" w:rsidR="00551321" w:rsidRPr="00645097" w:rsidRDefault="00551321" w:rsidP="00645097">
      <w:pPr>
        <w:pStyle w:val="Odstavecseseznamem"/>
        <w:widowControl w:val="0"/>
        <w:numPr>
          <w:ilvl w:val="0"/>
          <w:numId w:val="27"/>
        </w:numPr>
        <w:spacing w:after="100" w:line="240" w:lineRule="auto"/>
        <w:ind w:left="709"/>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rasisticky a xenofobně motivovaná pohrůžka,</w:t>
      </w:r>
    </w:p>
    <w:p w14:paraId="2D1E6046" w14:textId="77777777" w:rsidR="00551321" w:rsidRPr="00463867" w:rsidRDefault="00551321" w:rsidP="00645097">
      <w:pPr>
        <w:widowControl w:val="0"/>
        <w:numPr>
          <w:ilvl w:val="0"/>
          <w:numId w:val="27"/>
        </w:numPr>
        <w:tabs>
          <w:tab w:val="left" w:pos="756"/>
        </w:tabs>
        <w:spacing w:after="100" w:line="240" w:lineRule="auto"/>
        <w:ind w:left="709"/>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rasisticky a xenofobně motivovaná urážka,</w:t>
      </w:r>
    </w:p>
    <w:p w14:paraId="0160340D" w14:textId="77777777" w:rsidR="00551321" w:rsidRPr="00463867" w:rsidRDefault="00551321" w:rsidP="00645097">
      <w:pPr>
        <w:widowControl w:val="0"/>
        <w:numPr>
          <w:ilvl w:val="0"/>
          <w:numId w:val="27"/>
        </w:numPr>
        <w:tabs>
          <w:tab w:val="left" w:pos="756"/>
        </w:tabs>
        <w:spacing w:after="100" w:line="240" w:lineRule="auto"/>
        <w:ind w:left="709"/>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popření, hrubé snižování, schvalování nebo ospravedlnění genocidy nebo zločinů</w:t>
      </w:r>
    </w:p>
    <w:p w14:paraId="62B9894C" w14:textId="77777777" w:rsidR="00551321" w:rsidRPr="00463867" w:rsidRDefault="00551321" w:rsidP="00645097">
      <w:pPr>
        <w:widowControl w:val="0"/>
        <w:numPr>
          <w:ilvl w:val="0"/>
          <w:numId w:val="27"/>
        </w:numPr>
        <w:tabs>
          <w:tab w:val="left" w:pos="756"/>
        </w:tabs>
        <w:spacing w:after="100" w:line="240" w:lineRule="auto"/>
        <w:ind w:left="709"/>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proti lidskosti,</w:t>
      </w:r>
    </w:p>
    <w:p w14:paraId="02D519C2" w14:textId="77777777" w:rsidR="00551321" w:rsidRPr="00463867" w:rsidRDefault="00551321" w:rsidP="00645097">
      <w:pPr>
        <w:widowControl w:val="0"/>
        <w:numPr>
          <w:ilvl w:val="0"/>
          <w:numId w:val="27"/>
        </w:numPr>
        <w:tabs>
          <w:tab w:val="left" w:pos="756"/>
        </w:tabs>
        <w:spacing w:after="100" w:line="240" w:lineRule="auto"/>
        <w:ind w:left="709"/>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návod a pomoc k těmto jednáním.</w:t>
      </w:r>
    </w:p>
    <w:p w14:paraId="4449CAB1"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Dodatkový protokol vstoupil pro Českou republiku v platnost dne 1. 12. 2014.</w:t>
      </w:r>
    </w:p>
    <w:p w14:paraId="5DF1D061" w14:textId="75AE5113" w:rsidR="00551321" w:rsidRPr="00463867" w:rsidRDefault="00551321" w:rsidP="00645097">
      <w:pPr>
        <w:widowControl w:val="0"/>
        <w:spacing w:after="100" w:afterAutospacing="1" w:line="240" w:lineRule="auto"/>
        <w:jc w:val="both"/>
        <w:rPr>
          <w:rFonts w:ascii="Arial Narrow" w:eastAsia="Times New Roman" w:hAnsi="Arial Narrow" w:cs="Times New Roman"/>
          <w:sz w:val="16"/>
          <w:szCs w:val="16"/>
          <w:lang w:eastAsia="cs-CZ" w:bidi="cs-CZ"/>
        </w:rPr>
      </w:pPr>
      <w:r w:rsidRPr="00463867">
        <w:rPr>
          <w:rFonts w:ascii="Arial Narrow" w:eastAsia="Times New Roman" w:hAnsi="Arial Narrow" w:cs="Times New Roman"/>
          <w:color w:val="000000"/>
          <w:sz w:val="24"/>
          <w:szCs w:val="24"/>
          <w:lang w:eastAsia="cs-CZ" w:bidi="cs-CZ"/>
        </w:rPr>
        <w:t xml:space="preserve">Dalším významným dokumentem v oblasti kyberkriminality je </w:t>
      </w:r>
      <w:r w:rsidRPr="00463867">
        <w:rPr>
          <w:rFonts w:ascii="Arial Narrow" w:eastAsia="Times New Roman" w:hAnsi="Arial Narrow" w:cs="Times New Roman"/>
          <w:b/>
          <w:bCs/>
          <w:color w:val="000000"/>
          <w:sz w:val="24"/>
          <w:szCs w:val="24"/>
          <w:lang w:eastAsia="cs-CZ" w:bidi="cs-CZ"/>
        </w:rPr>
        <w:t xml:space="preserve">tzv. </w:t>
      </w:r>
      <w:r w:rsidR="00645097" w:rsidRPr="00463867">
        <w:rPr>
          <w:rFonts w:ascii="Arial Narrow" w:eastAsia="Times New Roman" w:hAnsi="Arial Narrow" w:cs="Times New Roman"/>
          <w:b/>
          <w:bCs/>
          <w:color w:val="000000"/>
          <w:sz w:val="24"/>
          <w:szCs w:val="24"/>
          <w:lang w:eastAsia="cs-CZ" w:bidi="cs-CZ"/>
        </w:rPr>
        <w:t>Tal</w:t>
      </w:r>
      <w:r w:rsidR="00645097">
        <w:rPr>
          <w:rFonts w:ascii="Arial Narrow" w:eastAsia="Times New Roman" w:hAnsi="Arial Narrow" w:cs="Times New Roman"/>
          <w:b/>
          <w:bCs/>
          <w:color w:val="000000"/>
          <w:sz w:val="24"/>
          <w:szCs w:val="24"/>
          <w:lang w:eastAsia="cs-CZ" w:bidi="cs-CZ"/>
        </w:rPr>
        <w:t>l</w:t>
      </w:r>
      <w:r w:rsidR="00645097" w:rsidRPr="00463867">
        <w:rPr>
          <w:rFonts w:ascii="Arial Narrow" w:eastAsia="Times New Roman" w:hAnsi="Arial Narrow" w:cs="Times New Roman"/>
          <w:b/>
          <w:bCs/>
          <w:color w:val="000000"/>
          <w:sz w:val="24"/>
          <w:szCs w:val="24"/>
          <w:lang w:eastAsia="cs-CZ" w:bidi="cs-CZ"/>
        </w:rPr>
        <w:t>innský</w:t>
      </w:r>
      <w:r w:rsidRPr="00463867">
        <w:rPr>
          <w:rFonts w:ascii="Arial Narrow" w:eastAsia="Times New Roman" w:hAnsi="Arial Narrow" w:cs="Times New Roman"/>
          <w:b/>
          <w:bCs/>
          <w:color w:val="000000"/>
          <w:sz w:val="24"/>
          <w:szCs w:val="24"/>
          <w:lang w:eastAsia="cs-CZ" w:bidi="cs-CZ"/>
        </w:rPr>
        <w:t xml:space="preserve"> manuál </w:t>
      </w:r>
      <w:r w:rsidRPr="00463867">
        <w:rPr>
          <w:rFonts w:ascii="Arial Narrow" w:eastAsia="Times New Roman" w:hAnsi="Arial Narrow" w:cs="Times New Roman"/>
          <w:color w:val="000000"/>
          <w:sz w:val="24"/>
          <w:szCs w:val="24"/>
          <w:lang w:eastAsia="cs-CZ" w:bidi="cs-CZ"/>
        </w:rPr>
        <w:t>mezinárodního práva použitelný na kybernetickou válku</w:t>
      </w:r>
      <w:r w:rsidRPr="00463867">
        <w:rPr>
          <w:rFonts w:ascii="Arial Narrow" w:eastAsia="Times New Roman" w:hAnsi="Arial Narrow" w:cs="Times New Roman"/>
          <w:b/>
          <w:bCs/>
          <w:color w:val="000000"/>
          <w:sz w:val="24"/>
          <w:szCs w:val="24"/>
          <w:lang w:eastAsia="cs-CZ" w:bidi="cs-CZ"/>
        </w:rPr>
        <w:t xml:space="preserve">. </w:t>
      </w:r>
      <w:r w:rsidRPr="00463867">
        <w:rPr>
          <w:rFonts w:ascii="Arial Narrow" w:eastAsia="Times New Roman" w:hAnsi="Arial Narrow" w:cs="Times New Roman"/>
          <w:color w:val="000000"/>
          <w:sz w:val="24"/>
          <w:szCs w:val="24"/>
          <w:lang w:eastAsia="cs-CZ" w:bidi="cs-CZ"/>
        </w:rPr>
        <w:t xml:space="preserve">Jedná se o dokument, který vydalo Centrum excelence pro spolupráci v oblasti kybernetické obrany NATO v estonském </w:t>
      </w:r>
      <w:r w:rsidR="00645097" w:rsidRPr="00463867">
        <w:rPr>
          <w:rFonts w:ascii="Arial Narrow" w:eastAsia="Times New Roman" w:hAnsi="Arial Narrow" w:cs="Times New Roman"/>
          <w:color w:val="000000"/>
          <w:sz w:val="24"/>
          <w:szCs w:val="24"/>
          <w:lang w:eastAsia="cs-CZ" w:bidi="cs-CZ"/>
        </w:rPr>
        <w:t>Ta</w:t>
      </w:r>
      <w:r w:rsidR="00645097">
        <w:rPr>
          <w:rFonts w:ascii="Arial Narrow" w:eastAsia="Times New Roman" w:hAnsi="Arial Narrow" w:cs="Times New Roman"/>
          <w:color w:val="000000"/>
          <w:sz w:val="24"/>
          <w:szCs w:val="24"/>
          <w:lang w:eastAsia="cs-CZ" w:bidi="cs-CZ"/>
        </w:rPr>
        <w:t>l</w:t>
      </w:r>
      <w:r w:rsidR="00645097" w:rsidRPr="00463867">
        <w:rPr>
          <w:rFonts w:ascii="Arial Narrow" w:eastAsia="Times New Roman" w:hAnsi="Arial Narrow" w:cs="Times New Roman"/>
          <w:color w:val="000000"/>
          <w:sz w:val="24"/>
          <w:szCs w:val="24"/>
          <w:lang w:eastAsia="cs-CZ" w:bidi="cs-CZ"/>
        </w:rPr>
        <w:t>linnu</w:t>
      </w:r>
      <w:r w:rsidRPr="00463867">
        <w:rPr>
          <w:rFonts w:ascii="Arial Narrow" w:eastAsia="Times New Roman" w:hAnsi="Arial Narrow" w:cs="Times New Roman"/>
          <w:color w:val="000000"/>
          <w:sz w:val="24"/>
          <w:szCs w:val="24"/>
          <w:lang w:eastAsia="cs-CZ" w:bidi="cs-CZ"/>
        </w:rPr>
        <w:t xml:space="preserve">. Dokument byl publikován v dubnu 2013 a je primárně zaměřen na kybernetickou válku. Mj. řeší otázku uplatnitelnosti norem mezinárodního práva na oblast kybernetické války, když v pravidle č. 6 uvádí: </w:t>
      </w:r>
      <w:r w:rsidRPr="00463867">
        <w:rPr>
          <w:rFonts w:ascii="Arial Narrow" w:eastAsia="Times New Roman" w:hAnsi="Arial Narrow" w:cs="Times New Roman"/>
          <w:i/>
          <w:iCs/>
          <w:color w:val="000000"/>
          <w:sz w:val="24"/>
          <w:szCs w:val="24"/>
          <w:lang w:eastAsia="cs-CZ" w:bidi="cs-CZ"/>
        </w:rPr>
        <w:t xml:space="preserve">„stát nese odpovědnost za kybernetické </w:t>
      </w:r>
      <w:r w:rsidRPr="00463867">
        <w:rPr>
          <w:rFonts w:ascii="Arial Narrow" w:eastAsia="Times New Roman" w:hAnsi="Arial Narrow" w:cs="Times New Roman"/>
          <w:i/>
          <w:iCs/>
          <w:color w:val="000000"/>
          <w:sz w:val="24"/>
          <w:szCs w:val="24"/>
          <w:lang w:eastAsia="cs-CZ" w:bidi="cs-CZ"/>
        </w:rPr>
        <w:lastRenderedPageBreak/>
        <w:t>operace, které jsou u přičitatelné, a které představují porušení závazku mezinárodního práva“.</w:t>
      </w:r>
      <w:r w:rsidRPr="00463867">
        <w:rPr>
          <w:rFonts w:ascii="Arial Narrow" w:eastAsia="Calibri" w:hAnsi="Arial Narrow" w:cs="Calibri"/>
          <w:color w:val="000000"/>
          <w:sz w:val="16"/>
          <w:szCs w:val="16"/>
          <w:vertAlign w:val="superscript"/>
          <w:lang w:eastAsia="cs-CZ" w:bidi="cs-CZ"/>
        </w:rPr>
        <w:footnoteReference w:id="16"/>
      </w:r>
    </w:p>
    <w:p w14:paraId="20D3EF2F" w14:textId="77777777" w:rsidR="00551321" w:rsidRPr="00463867" w:rsidRDefault="00551321" w:rsidP="00551321">
      <w:pPr>
        <w:keepNext/>
        <w:keepLines/>
        <w:widowControl w:val="0"/>
        <w:numPr>
          <w:ilvl w:val="1"/>
          <w:numId w:val="12"/>
        </w:numPr>
        <w:tabs>
          <w:tab w:val="left" w:pos="496"/>
        </w:tabs>
        <w:spacing w:after="100" w:line="240" w:lineRule="auto"/>
        <w:jc w:val="both"/>
        <w:outlineLvl w:val="4"/>
        <w:rPr>
          <w:rFonts w:ascii="Arial Narrow" w:eastAsia="Times New Roman" w:hAnsi="Arial Narrow" w:cs="Times New Roman"/>
          <w:b/>
          <w:bCs/>
          <w:sz w:val="24"/>
          <w:szCs w:val="24"/>
          <w:lang w:eastAsia="cs-CZ" w:bidi="cs-CZ"/>
        </w:rPr>
      </w:pPr>
      <w:bookmarkStart w:id="10" w:name="bookmark952"/>
      <w:bookmarkStart w:id="11" w:name="bookmark953"/>
      <w:r w:rsidRPr="00463867">
        <w:rPr>
          <w:rFonts w:ascii="Arial Narrow" w:eastAsia="Times New Roman" w:hAnsi="Arial Narrow" w:cs="Times New Roman"/>
          <w:b/>
          <w:bCs/>
          <w:color w:val="000000"/>
          <w:sz w:val="24"/>
          <w:szCs w:val="24"/>
          <w:lang w:eastAsia="cs-CZ" w:bidi="cs-CZ"/>
        </w:rPr>
        <w:t>Unijní právní úprava</w:t>
      </w:r>
      <w:bookmarkEnd w:id="10"/>
      <w:bookmarkEnd w:id="11"/>
    </w:p>
    <w:p w14:paraId="7D8B9EA9"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EU</w:t>
      </w:r>
      <w:r w:rsidRPr="00463867">
        <w:rPr>
          <w:rFonts w:ascii="Arial Narrow" w:eastAsia="Calibri" w:hAnsi="Arial Narrow" w:cs="Calibri"/>
          <w:color w:val="000000"/>
          <w:sz w:val="16"/>
          <w:szCs w:val="16"/>
          <w:vertAlign w:val="superscript"/>
          <w:lang w:eastAsia="cs-CZ" w:bidi="cs-CZ"/>
        </w:rPr>
        <w:footnoteReference w:id="17"/>
      </w:r>
      <w:r w:rsidRPr="00463867">
        <w:rPr>
          <w:rFonts w:ascii="Arial Narrow" w:eastAsia="Calibri" w:hAnsi="Arial Narrow" w:cs="Calibri"/>
          <w:color w:val="000000"/>
          <w:sz w:val="16"/>
          <w:szCs w:val="16"/>
          <w:lang w:eastAsia="cs-CZ" w:bidi="cs-CZ"/>
        </w:rPr>
        <w:t xml:space="preserve"> </w:t>
      </w:r>
      <w:r w:rsidRPr="00463867">
        <w:rPr>
          <w:rFonts w:ascii="Arial Narrow" w:eastAsia="Times New Roman" w:hAnsi="Arial Narrow" w:cs="Times New Roman"/>
          <w:color w:val="000000"/>
          <w:sz w:val="24"/>
          <w:szCs w:val="24"/>
          <w:lang w:eastAsia="cs-CZ" w:bidi="cs-CZ"/>
        </w:rPr>
        <w:t>se snaží sblížit právní úpravu jednotlivých členských států tak, aby bylo možno účinněji postihovat kyberkriminalitu.</w:t>
      </w:r>
    </w:p>
    <w:p w14:paraId="7052A943"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Již v roce 1999 na zasedání v Helsinkách vyhlásila Evropská komise celoevropskou strategickou iniciativu eEurope - Informační společnost pro všechny. Jejím hlavním cílem bylo poskytnutí výhod informační společnosti všem obyvatelům.</w:t>
      </w:r>
    </w:p>
    <w:p w14:paraId="2E345086" w14:textId="77777777" w:rsidR="00551321" w:rsidRPr="00463867" w:rsidRDefault="00551321" w:rsidP="00551321">
      <w:pPr>
        <w:widowControl w:val="0"/>
        <w:spacing w:after="100" w:line="240" w:lineRule="auto"/>
        <w:jc w:val="both"/>
        <w:rPr>
          <w:rFonts w:ascii="Arial Narrow" w:eastAsia="Times New Roman" w:hAnsi="Arial Narrow" w:cs="Times New Roman"/>
          <w:sz w:val="16"/>
          <w:szCs w:val="16"/>
          <w:lang w:eastAsia="cs-CZ" w:bidi="cs-CZ"/>
        </w:rPr>
      </w:pPr>
      <w:r w:rsidRPr="00463867">
        <w:rPr>
          <w:rFonts w:ascii="Arial Narrow" w:eastAsia="Times New Roman" w:hAnsi="Arial Narrow" w:cs="Times New Roman"/>
          <w:color w:val="000000"/>
          <w:sz w:val="24"/>
          <w:szCs w:val="24"/>
          <w:lang w:eastAsia="cs-CZ" w:bidi="cs-CZ"/>
        </w:rPr>
        <w:t>Nejširší rámec, kterým se od roku 2010 EU řídí, se pak nazývá Evropa 2020; jedná se o desetiletou strategii, jejímž cílem je dosáhnout hospodářského růstu. Klade si za cíl pět bodů, kterých chce dosáhnout prostřednictvím sedmi iniciativ, přičemž jednou z nich je tzv. Digitální agenda pro Evropu, která sama navrhuje sedm klíčových oblastí, ve kterých je třeba vhodnými nástroji dosáhnout následujících požadovaných cílů:</w:t>
      </w:r>
      <w:r w:rsidRPr="00463867">
        <w:rPr>
          <w:rFonts w:ascii="Arial Narrow" w:eastAsia="Calibri" w:hAnsi="Arial Narrow" w:cs="Calibri"/>
          <w:color w:val="000000"/>
          <w:sz w:val="16"/>
          <w:szCs w:val="16"/>
          <w:vertAlign w:val="superscript"/>
          <w:lang w:eastAsia="cs-CZ" w:bidi="cs-CZ"/>
        </w:rPr>
        <w:footnoteReference w:id="18"/>
      </w:r>
    </w:p>
    <w:p w14:paraId="2801EEC9" w14:textId="77777777" w:rsidR="00551321" w:rsidRPr="00463867" w:rsidRDefault="00551321" w:rsidP="00551321">
      <w:pPr>
        <w:widowControl w:val="0"/>
        <w:spacing w:after="100" w:line="240" w:lineRule="auto"/>
        <w:ind w:firstLine="4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vytvoření jednotného digitálního trhu,</w:t>
      </w:r>
    </w:p>
    <w:p w14:paraId="6D326125" w14:textId="77777777" w:rsidR="00551321" w:rsidRPr="00463867" w:rsidRDefault="00551321" w:rsidP="00551321">
      <w:pPr>
        <w:widowControl w:val="0"/>
        <w:spacing w:after="100" w:line="240" w:lineRule="auto"/>
        <w:ind w:left="800" w:hanging="36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zlepšení rámcových podmínek pro interoperabilitu mezi výrobky a službami v oblasti ICT,</w:t>
      </w:r>
    </w:p>
    <w:p w14:paraId="40C5B743" w14:textId="77777777" w:rsidR="00551321" w:rsidRPr="00463867" w:rsidRDefault="00551321" w:rsidP="00551321">
      <w:pPr>
        <w:widowControl w:val="0"/>
        <w:spacing w:after="100" w:line="240" w:lineRule="auto"/>
        <w:ind w:firstLine="4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posílení důvěry v Internet a jeho bezpečnost,</w:t>
      </w:r>
    </w:p>
    <w:p w14:paraId="7C1451B0" w14:textId="77777777" w:rsidR="00551321" w:rsidRPr="00463867" w:rsidRDefault="00551321" w:rsidP="00551321">
      <w:pPr>
        <w:widowControl w:val="0"/>
        <w:spacing w:after="100" w:line="240" w:lineRule="auto"/>
        <w:ind w:firstLine="4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záruka poskytování výrazně rychlejšího internetového připojení,</w:t>
      </w:r>
    </w:p>
    <w:p w14:paraId="328ED0AA" w14:textId="77777777" w:rsidR="00551321" w:rsidRPr="00463867" w:rsidRDefault="00551321" w:rsidP="00551321">
      <w:pPr>
        <w:widowControl w:val="0"/>
        <w:spacing w:after="100" w:line="240" w:lineRule="auto"/>
        <w:ind w:firstLine="4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podpora investic do výzkumu a vývoje,</w:t>
      </w:r>
    </w:p>
    <w:p w14:paraId="2BE7C9D3" w14:textId="77777777" w:rsidR="00551321" w:rsidRPr="00463867" w:rsidRDefault="00551321" w:rsidP="00551321">
      <w:pPr>
        <w:widowControl w:val="0"/>
        <w:spacing w:after="100" w:line="240" w:lineRule="auto"/>
        <w:ind w:firstLine="4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zvýšení digitální gramotnosti, dovedností a začlenění,</w:t>
      </w:r>
    </w:p>
    <w:p w14:paraId="763662BD" w14:textId="77777777" w:rsidR="00551321" w:rsidRPr="00463867" w:rsidRDefault="00551321" w:rsidP="00645097">
      <w:pPr>
        <w:widowControl w:val="0"/>
        <w:spacing w:after="100" w:line="240" w:lineRule="auto"/>
        <w:ind w:left="567" w:hanging="127"/>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zavádění IKT k řešení společenských úkolů, jako jsou změna klimatu, zvyšující se náklady na zdravotní péči a stárnoucí populace.</w:t>
      </w:r>
    </w:p>
    <w:p w14:paraId="1F76EA9E"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Prostředkem pro sbližování práva jednotlivých členských států jsou především rámcová rozhodnutí, směrnice a další dokumenty EU/ES. Z hlediska boje s kybernetickou kriminalitou se jeví jako nejvýznamnější následující dokumenty:</w:t>
      </w:r>
    </w:p>
    <w:p w14:paraId="30136FEA" w14:textId="77777777" w:rsidR="00551321" w:rsidRPr="00463867" w:rsidRDefault="00551321" w:rsidP="00645097">
      <w:pPr>
        <w:widowControl w:val="0"/>
        <w:numPr>
          <w:ilvl w:val="0"/>
          <w:numId w:val="30"/>
        </w:numPr>
        <w:tabs>
          <w:tab w:val="left" w:pos="729"/>
        </w:tabs>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směrnice Rady 91/250/EHS o právní ochraně počítačových programů,</w:t>
      </w:r>
    </w:p>
    <w:p w14:paraId="74B9268B" w14:textId="580E54DE" w:rsidR="00551321" w:rsidRPr="00645097" w:rsidRDefault="00551321" w:rsidP="00645097">
      <w:pPr>
        <w:pStyle w:val="Odstavecseseznamem"/>
        <w:widowControl w:val="0"/>
        <w:numPr>
          <w:ilvl w:val="0"/>
          <w:numId w:val="30"/>
        </w:numPr>
        <w:spacing w:after="100" w:line="240" w:lineRule="auto"/>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rozhodnutí rady 92/242/EHS o bezpečnosti informačních systémů,</w:t>
      </w:r>
    </w:p>
    <w:p w14:paraId="7E0887B9" w14:textId="77777777" w:rsidR="00551321" w:rsidRPr="00463867" w:rsidRDefault="00551321" w:rsidP="00645097">
      <w:pPr>
        <w:widowControl w:val="0"/>
        <w:numPr>
          <w:ilvl w:val="0"/>
          <w:numId w:val="30"/>
        </w:numPr>
        <w:tabs>
          <w:tab w:val="left" w:pos="729"/>
        </w:tabs>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rámcové rozhodnutí Rady 2000/375/JHA o boji proti dětské pornografii na internetu,</w:t>
      </w:r>
    </w:p>
    <w:p w14:paraId="284BAD55" w14:textId="77777777" w:rsidR="00551321" w:rsidRPr="00463867" w:rsidRDefault="00551321" w:rsidP="00645097">
      <w:pPr>
        <w:widowControl w:val="0"/>
        <w:numPr>
          <w:ilvl w:val="0"/>
          <w:numId w:val="30"/>
        </w:numPr>
        <w:tabs>
          <w:tab w:val="left" w:pos="729"/>
        </w:tabs>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nařízení Evropského parlamentu a Rady (EU) 2016/679 ze dne 27. 4. 2016 o ochraně fyzických osob v souvislosti se zpracováním osobních údajů a volném pohybu těchto údajů a zrušení směrnice 95/46/ES (obecné nařízení o ochraně osobních údajů),</w:t>
      </w:r>
    </w:p>
    <w:p w14:paraId="7A4569B8" w14:textId="77777777" w:rsidR="00551321" w:rsidRPr="00463867" w:rsidRDefault="00551321" w:rsidP="00645097">
      <w:pPr>
        <w:widowControl w:val="0"/>
        <w:numPr>
          <w:ilvl w:val="0"/>
          <w:numId w:val="30"/>
        </w:numPr>
        <w:tabs>
          <w:tab w:val="left" w:pos="729"/>
        </w:tabs>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rámcové rozhodnutí rady EU č. 2002/584/JHA o evropském zatýkacím rozkazu a postupech předávání mezi státy,</w:t>
      </w:r>
    </w:p>
    <w:p w14:paraId="53F5C1DC" w14:textId="77777777" w:rsidR="00551321" w:rsidRPr="00463867" w:rsidRDefault="00551321" w:rsidP="00645097">
      <w:pPr>
        <w:widowControl w:val="0"/>
        <w:numPr>
          <w:ilvl w:val="0"/>
          <w:numId w:val="30"/>
        </w:numPr>
        <w:tabs>
          <w:tab w:val="left" w:pos="729"/>
        </w:tabs>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nařízení Evropského parlamentu a Rady (EU) 2016/794, o Agentuře Evropské unie pro spolupráci v oblasti prosazování práva (Europol) a o zrušení a nahrazení rozhodnutí 2009/371/SVV, 2009/934/SVV, 2009/935/SVV, 2009/936/SVV a 2009/968/SVV, ze dne 11. 5. 2016 a další.</w:t>
      </w:r>
    </w:p>
    <w:p w14:paraId="161B053E" w14:textId="77777777" w:rsidR="00551321" w:rsidRPr="00463867" w:rsidRDefault="00551321" w:rsidP="00645097">
      <w:pPr>
        <w:widowControl w:val="0"/>
        <w:spacing w:after="100" w:afterAutospacing="1"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Jedná se pouze o demonstrativní výčet dokumentů.</w:t>
      </w:r>
    </w:p>
    <w:p w14:paraId="25A4D9B7" w14:textId="77777777" w:rsidR="00551321" w:rsidRPr="00463867" w:rsidRDefault="00551321" w:rsidP="00551321">
      <w:pPr>
        <w:keepNext/>
        <w:keepLines/>
        <w:widowControl w:val="0"/>
        <w:numPr>
          <w:ilvl w:val="1"/>
          <w:numId w:val="12"/>
        </w:numPr>
        <w:tabs>
          <w:tab w:val="left" w:pos="452"/>
        </w:tabs>
        <w:spacing w:after="100" w:line="240" w:lineRule="auto"/>
        <w:jc w:val="both"/>
        <w:outlineLvl w:val="4"/>
        <w:rPr>
          <w:rFonts w:ascii="Arial Narrow" w:eastAsia="Times New Roman" w:hAnsi="Arial Narrow" w:cs="Times New Roman"/>
          <w:b/>
          <w:bCs/>
          <w:sz w:val="24"/>
          <w:szCs w:val="24"/>
          <w:lang w:eastAsia="cs-CZ" w:bidi="cs-CZ"/>
        </w:rPr>
      </w:pPr>
      <w:bookmarkStart w:id="12" w:name="bookmark954"/>
      <w:bookmarkStart w:id="13" w:name="bookmark955"/>
      <w:r w:rsidRPr="00463867">
        <w:rPr>
          <w:rFonts w:ascii="Arial Narrow" w:eastAsia="Times New Roman" w:hAnsi="Arial Narrow" w:cs="Times New Roman"/>
          <w:b/>
          <w:bCs/>
          <w:color w:val="000000"/>
          <w:sz w:val="24"/>
          <w:szCs w:val="24"/>
          <w:lang w:eastAsia="cs-CZ" w:bidi="cs-CZ"/>
        </w:rPr>
        <w:lastRenderedPageBreak/>
        <w:t>Právní úprava kyberkriminality v ČR</w:t>
      </w:r>
      <w:bookmarkEnd w:id="12"/>
      <w:bookmarkEnd w:id="13"/>
    </w:p>
    <w:p w14:paraId="4041122E" w14:textId="77777777" w:rsidR="00551321" w:rsidRPr="00463867" w:rsidRDefault="00551321" w:rsidP="00551321">
      <w:pPr>
        <w:widowControl w:val="0"/>
        <w:spacing w:after="100" w:line="233"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Nejvýznamnějším vnitrostátním předpisem upravujícím hmotněprávní aspekty internetové kriminality je nepochybně </w:t>
      </w:r>
      <w:r w:rsidRPr="00463867">
        <w:rPr>
          <w:rFonts w:ascii="Arial Narrow" w:eastAsia="Times New Roman" w:hAnsi="Arial Narrow" w:cs="Times New Roman"/>
          <w:b/>
          <w:bCs/>
          <w:color w:val="000000"/>
          <w:sz w:val="24"/>
          <w:szCs w:val="24"/>
          <w:lang w:eastAsia="cs-CZ" w:bidi="cs-CZ"/>
        </w:rPr>
        <w:t>z. č. 40/2009 Sb., trestní zákoník.</w:t>
      </w:r>
    </w:p>
    <w:p w14:paraId="1B633A3E"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První trestné činy spojené s počítači se objevily již v 70. a 80. letech minulého století a byly nejčastěji kvalifikovány jako sabotáž podle § 97 zákona č. 140/1961 Sb. Trestní zákon platný v té době neobsahoval skutkovou podstatu, která by stanovila postih za neoprávněný přístup k počítačovému systému. Postupný nárůst trestné činnosti s využitím počítače s sebou přinesl naléhavou potřebu přijmout takovou trestněprávní úpravu, která by byla účinná a umožnila postihnout i tato protiprávní jednání.</w:t>
      </w:r>
    </w:p>
    <w:p w14:paraId="48BE1398"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První "počítačový" delikt u nás byl obsažen v zákoně č. 140/1961 Sb., trestním zákonu, do kterého byl včleněn od 1. ledna 1992 zákonem č. 557/1991 Sb. Jednalo se o trestný čin poškození a zneužití záznamu na nosiči informací podle § 257 a) trestního zákona, jehož se dopustil ten, kdo získal přístup k nosiči informací a v úmyslu způsobit jinému škodu nebo jinou újmu nebo získat sobě nebo jinému neoprávněný prospěch</w:t>
      </w:r>
    </w:p>
    <w:p w14:paraId="3F029B77" w14:textId="6DD1101A" w:rsidR="00551321" w:rsidRPr="00645097" w:rsidRDefault="00551321" w:rsidP="00645097">
      <w:pPr>
        <w:pStyle w:val="Odstavecseseznamem"/>
        <w:widowControl w:val="0"/>
        <w:numPr>
          <w:ilvl w:val="0"/>
          <w:numId w:val="32"/>
        </w:numPr>
        <w:spacing w:after="100" w:line="240" w:lineRule="auto"/>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takových informací neoprávněně užil,</w:t>
      </w:r>
    </w:p>
    <w:p w14:paraId="6212F7A0" w14:textId="17FA74C3" w:rsidR="00551321" w:rsidRPr="00645097" w:rsidRDefault="00551321" w:rsidP="00645097">
      <w:pPr>
        <w:pStyle w:val="Odstavecseseznamem"/>
        <w:widowControl w:val="0"/>
        <w:numPr>
          <w:ilvl w:val="0"/>
          <w:numId w:val="32"/>
        </w:numPr>
        <w:spacing w:after="100" w:line="240" w:lineRule="auto"/>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informace zničil, poškodil, změnil nebo učinil neupotřebitelnými, nebo</w:t>
      </w:r>
    </w:p>
    <w:p w14:paraId="0CB29556" w14:textId="77777777" w:rsidR="00551321" w:rsidRPr="00463867" w:rsidRDefault="00551321" w:rsidP="00645097">
      <w:pPr>
        <w:widowControl w:val="0"/>
        <w:numPr>
          <w:ilvl w:val="0"/>
          <w:numId w:val="32"/>
        </w:numPr>
        <w:tabs>
          <w:tab w:val="left" w:pos="1100"/>
        </w:tabs>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učinil zásah do technického nebo programového vybavení počítače nebo jiného telekomunikačního zařízení,</w:t>
      </w:r>
    </w:p>
    <w:p w14:paraId="3A17C069"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za což mu hrozil trest odnětí svobody až na jeden rok nebo zákaz činnosti nebo peněžitý trest nebo propadnutí věci nebo jiné majetkové hodnoty.</w:t>
      </w:r>
    </w:p>
    <w:p w14:paraId="3C3D5084"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Zákon č. 40/2009 Sb., trestní zákoník, zohlednil význam informačních technologií při páchání trestné činnosti a mezinárodní charakter kriminality. Právní úprava skutkových podstat počítačové kriminality v zákoně č. 40/2009 Sb. zahrnuje jednak klasické trestné činy, páchané v kyberprostoru, kterými jsou zejména:</w:t>
      </w:r>
    </w:p>
    <w:p w14:paraId="17469FAA"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trestný čin neoprávněného nakládání s osobními údaji podle § 180 trestního zákoníku,</w:t>
      </w:r>
    </w:p>
    <w:p w14:paraId="0B67E9B8"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trestný čin poškození cizích práv podle § 181 trestního zákoníku,</w:t>
      </w:r>
    </w:p>
    <w:p w14:paraId="2C7DEAB9"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trestný čin porušení tajemství dopravovaných zpráv podle § 182 trestního zákoníku,</w:t>
      </w:r>
    </w:p>
    <w:p w14:paraId="75A27B7E" w14:textId="77777777" w:rsidR="00551321" w:rsidRPr="00463867" w:rsidRDefault="00551321" w:rsidP="00551321">
      <w:pPr>
        <w:widowControl w:val="0"/>
        <w:spacing w:after="100" w:line="233" w:lineRule="auto"/>
        <w:ind w:left="380" w:hanging="38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trestný čin porušení tajemství listin a jiných dokumentů uchovávaných v soukromí podle § 183 trestního zákoníku,</w:t>
      </w:r>
    </w:p>
    <w:p w14:paraId="75688B21"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trestný čin pomluvy podle § 184 trestního zákoníku,</w:t>
      </w:r>
    </w:p>
    <w:p w14:paraId="46AE62A8"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trestný čin šíření pornografie podle § 191 trestního zákoníku,</w:t>
      </w:r>
    </w:p>
    <w:p w14:paraId="2B0B8FA3"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trestný čin výroby a jiného nakládání s dětskou pornografií podle § 192 tr. zákoníku,</w:t>
      </w:r>
    </w:p>
    <w:p w14:paraId="75923A6D"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trestný čin krádeže podle § 205 trestního zákoníku,</w:t>
      </w:r>
    </w:p>
    <w:p w14:paraId="05D85C1D"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trestný čin zpronevěry podle § 206 trestního zákoníku,</w:t>
      </w:r>
    </w:p>
    <w:p w14:paraId="58528965"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trestný čin neoprávněného užívání cizí věci podle § 207 trestního zákoníku,</w:t>
      </w:r>
    </w:p>
    <w:p w14:paraId="716DBEC1"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trestný čin podvodu podle § 209 trestního zákoníku,</w:t>
      </w:r>
    </w:p>
    <w:p w14:paraId="1A3BF4DE" w14:textId="77777777" w:rsidR="00551321" w:rsidRPr="00463867" w:rsidRDefault="00551321" w:rsidP="00551321">
      <w:pPr>
        <w:widowControl w:val="0"/>
        <w:spacing w:after="100" w:line="240" w:lineRule="auto"/>
        <w:jc w:val="both"/>
        <w:rPr>
          <w:rFonts w:ascii="Arial Narrow" w:eastAsia="Times New Roman" w:hAnsi="Arial Narrow" w:cs="Times New Roman"/>
          <w:sz w:val="16"/>
          <w:szCs w:val="16"/>
          <w:lang w:eastAsia="cs-CZ" w:bidi="cs-CZ"/>
        </w:rPr>
      </w:pPr>
      <w:r w:rsidRPr="00463867">
        <w:rPr>
          <w:rFonts w:ascii="Arial Narrow" w:eastAsia="Times New Roman" w:hAnsi="Arial Narrow" w:cs="Times New Roman"/>
          <w:color w:val="000000"/>
          <w:sz w:val="24"/>
          <w:szCs w:val="24"/>
          <w:lang w:eastAsia="cs-CZ" w:bidi="cs-CZ"/>
        </w:rPr>
        <w:t>- trestný čin provozování nepoctivých her a sázek podle § 213 trestního zákoníku.</w:t>
      </w:r>
      <w:r w:rsidRPr="00463867">
        <w:rPr>
          <w:rFonts w:ascii="Arial Narrow" w:eastAsia="Calibri" w:hAnsi="Arial Narrow" w:cs="Calibri"/>
          <w:color w:val="000000"/>
          <w:sz w:val="16"/>
          <w:szCs w:val="16"/>
          <w:vertAlign w:val="superscript"/>
          <w:lang w:eastAsia="cs-CZ" w:bidi="cs-CZ"/>
        </w:rPr>
        <w:footnoteReference w:id="19"/>
      </w:r>
    </w:p>
    <w:p w14:paraId="092D9AC7"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V souvislosti s ratifikací Úmluvy</w:t>
      </w:r>
      <w:r w:rsidRPr="00463867">
        <w:rPr>
          <w:rFonts w:ascii="Arial Narrow" w:eastAsia="Calibri" w:hAnsi="Arial Narrow" w:cs="Calibri"/>
          <w:color w:val="000000"/>
          <w:sz w:val="16"/>
          <w:szCs w:val="16"/>
          <w:vertAlign w:val="superscript"/>
          <w:lang w:eastAsia="cs-CZ" w:bidi="cs-CZ"/>
        </w:rPr>
        <w:footnoteReference w:id="20"/>
      </w:r>
      <w:r w:rsidRPr="00463867">
        <w:rPr>
          <w:rFonts w:ascii="Arial Narrow" w:eastAsia="Calibri" w:hAnsi="Arial Narrow" w:cs="Calibri"/>
          <w:color w:val="000000"/>
          <w:sz w:val="16"/>
          <w:szCs w:val="16"/>
          <w:lang w:eastAsia="cs-CZ" w:bidi="cs-CZ"/>
        </w:rPr>
        <w:t xml:space="preserve"> </w:t>
      </w:r>
      <w:r w:rsidRPr="00463867">
        <w:rPr>
          <w:rFonts w:ascii="Arial Narrow" w:eastAsia="Times New Roman" w:hAnsi="Arial Narrow" w:cs="Times New Roman"/>
          <w:color w:val="000000"/>
          <w:sz w:val="24"/>
          <w:szCs w:val="24"/>
          <w:lang w:eastAsia="cs-CZ" w:bidi="cs-CZ"/>
        </w:rPr>
        <w:t>byly do trestního zákoníku zařazeny skutkové podstaty nových trestných činů, a to:</w:t>
      </w:r>
    </w:p>
    <w:p w14:paraId="35978BA0" w14:textId="77777777" w:rsidR="00551321" w:rsidRPr="00463867" w:rsidRDefault="00551321" w:rsidP="00645097">
      <w:pPr>
        <w:widowControl w:val="0"/>
        <w:numPr>
          <w:ilvl w:val="0"/>
          <w:numId w:val="33"/>
        </w:numPr>
        <w:tabs>
          <w:tab w:val="left" w:pos="755"/>
        </w:tabs>
        <w:spacing w:after="100" w:line="240" w:lineRule="auto"/>
        <w:ind w:left="740" w:hanging="36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lastRenderedPageBreak/>
        <w:t>trestného činu neoprávněného přístupu k počítačovému systému podle § 230 tr. zákoníku,</w:t>
      </w:r>
    </w:p>
    <w:p w14:paraId="11D44FF8" w14:textId="77777777" w:rsidR="00551321" w:rsidRPr="00463867" w:rsidRDefault="00551321" w:rsidP="00645097">
      <w:pPr>
        <w:widowControl w:val="0"/>
        <w:numPr>
          <w:ilvl w:val="0"/>
          <w:numId w:val="33"/>
        </w:numPr>
        <w:tabs>
          <w:tab w:val="left" w:pos="755"/>
        </w:tabs>
        <w:spacing w:after="100" w:line="240" w:lineRule="auto"/>
        <w:ind w:left="740" w:hanging="36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trestného činu opatření a přechovávání přístupového zařízení a hesla k počítačovému systému a jiných takových dat podle § 231 trestního zákoníku,</w:t>
      </w:r>
    </w:p>
    <w:p w14:paraId="190CA494" w14:textId="77777777" w:rsidR="00551321" w:rsidRPr="00463867" w:rsidRDefault="00551321" w:rsidP="00645097">
      <w:pPr>
        <w:widowControl w:val="0"/>
        <w:numPr>
          <w:ilvl w:val="0"/>
          <w:numId w:val="33"/>
        </w:numPr>
        <w:tabs>
          <w:tab w:val="left" w:pos="755"/>
        </w:tabs>
        <w:spacing w:after="100" w:line="240" w:lineRule="auto"/>
        <w:ind w:left="740" w:hanging="36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trestného činu poškození záznamu v počítačovém systému a na nosiči informací a zásah do vybavení počítače z nedbalosti podle § 232 trestního zákoníku.</w:t>
      </w:r>
    </w:p>
    <w:p w14:paraId="1512802F" w14:textId="77777777" w:rsidR="00551321" w:rsidRPr="00463867" w:rsidRDefault="00551321" w:rsidP="00551321">
      <w:pPr>
        <w:widowControl w:val="0"/>
        <w:spacing w:after="100" w:line="240" w:lineRule="auto"/>
        <w:jc w:val="both"/>
        <w:rPr>
          <w:rFonts w:ascii="Arial Narrow" w:eastAsia="Times New Roman" w:hAnsi="Arial Narrow" w:cs="Times New Roman"/>
          <w:sz w:val="16"/>
          <w:szCs w:val="16"/>
          <w:lang w:eastAsia="cs-CZ" w:bidi="cs-CZ"/>
        </w:rPr>
      </w:pPr>
      <w:r w:rsidRPr="00463867">
        <w:rPr>
          <w:rFonts w:ascii="Arial Narrow" w:eastAsia="Times New Roman" w:hAnsi="Arial Narrow" w:cs="Times New Roman"/>
          <w:color w:val="000000"/>
          <w:sz w:val="24"/>
          <w:szCs w:val="24"/>
          <w:lang w:eastAsia="cs-CZ" w:bidi="cs-CZ"/>
        </w:rPr>
        <w:t>Trestné činy podle § 230 - § 232 trestního zákoníku jsou specifickou skupinou soudně trestných deliktů. Od ostatních trestných činů proti majetku, jejichž druhovým objektem jsou majetkové zájmy různorodé povahy, se odlišují právě svým primárním objektem, kterým je společenský, parciální či individuální zájem na důvěrnosti, integritě a dostupnosti počítačových systémů, sítí a počítačových dat, jakož i zájem na zamezení zneužití takových systémů, sítí a dat k páchání trestné činnosti různorodé povahy.</w:t>
      </w:r>
      <w:r w:rsidRPr="00463867">
        <w:rPr>
          <w:rFonts w:ascii="Arial Narrow" w:eastAsia="Calibri" w:hAnsi="Arial Narrow" w:cs="Calibri"/>
          <w:color w:val="000000"/>
          <w:sz w:val="16"/>
          <w:szCs w:val="16"/>
          <w:vertAlign w:val="superscript"/>
          <w:lang w:eastAsia="cs-CZ" w:bidi="cs-CZ"/>
        </w:rPr>
        <w:footnoteReference w:id="21"/>
      </w:r>
      <w:r w:rsidRPr="00463867">
        <w:rPr>
          <w:rFonts w:ascii="Arial Narrow" w:eastAsia="Calibri" w:hAnsi="Arial Narrow" w:cs="Calibri"/>
          <w:color w:val="000000"/>
          <w:sz w:val="16"/>
          <w:szCs w:val="16"/>
          <w:lang w:eastAsia="cs-CZ" w:bidi="cs-CZ"/>
        </w:rPr>
        <w:t xml:space="preserve"> </w:t>
      </w:r>
      <w:r w:rsidRPr="00463867">
        <w:rPr>
          <w:rFonts w:ascii="Arial Narrow" w:eastAsia="Times New Roman" w:hAnsi="Arial Narrow" w:cs="Times New Roman"/>
          <w:color w:val="000000"/>
          <w:sz w:val="24"/>
          <w:szCs w:val="24"/>
          <w:lang w:eastAsia="cs-CZ" w:bidi="cs-CZ"/>
        </w:rPr>
        <w:t>Nepřímo jsou chráněny i další zájmy, obchodní tajemství, bankovní tajemství, autorská díla, údaje o pacientech, údaje o zaknihovaných cenných papírech, utajované informace, pokud je nosič informací obsahuje. Předmětem útoku je nosič informací, resp. jeho obsahové a technické vybavení.</w:t>
      </w:r>
      <w:r w:rsidRPr="00463867">
        <w:rPr>
          <w:rFonts w:ascii="Arial Narrow" w:eastAsia="Calibri" w:hAnsi="Arial Narrow" w:cs="Calibri"/>
          <w:color w:val="000000"/>
          <w:sz w:val="16"/>
          <w:szCs w:val="16"/>
          <w:vertAlign w:val="superscript"/>
          <w:lang w:eastAsia="cs-CZ" w:bidi="cs-CZ"/>
        </w:rPr>
        <w:footnoteReference w:id="22"/>
      </w:r>
    </w:p>
    <w:p w14:paraId="01CC4A51"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Trestného činu </w:t>
      </w:r>
      <w:r w:rsidRPr="00463867">
        <w:rPr>
          <w:rFonts w:ascii="Arial Narrow" w:eastAsia="Times New Roman" w:hAnsi="Arial Narrow" w:cs="Times New Roman"/>
          <w:b/>
          <w:bCs/>
          <w:color w:val="000000"/>
          <w:sz w:val="24"/>
          <w:szCs w:val="24"/>
          <w:lang w:eastAsia="cs-CZ" w:bidi="cs-CZ"/>
        </w:rPr>
        <w:t xml:space="preserve">neoprávněného přístupu k počítačovému systému a nosiči informací podle § 230 trestního zákoníku </w:t>
      </w:r>
      <w:r w:rsidRPr="00463867">
        <w:rPr>
          <w:rFonts w:ascii="Arial Narrow" w:eastAsia="Times New Roman" w:hAnsi="Arial Narrow" w:cs="Times New Roman"/>
          <w:color w:val="000000"/>
          <w:sz w:val="24"/>
          <w:szCs w:val="24"/>
          <w:lang w:eastAsia="cs-CZ" w:bidi="cs-CZ"/>
        </w:rPr>
        <w:t>se dopustí ten, kdo překoná bezpečnostní opatření, a tím neoprávněně získá přístup k počítačovému systému nebo k jeho části, přičemž mu hrozí trest odnětí svobody až na jeden rok, zákaz činnosti nebo propadnutí věci nebo jiné majetkové hodnoty. Pachatel, který získá přístup k počítačovému systému nebo k nosiči informací a</w:t>
      </w:r>
    </w:p>
    <w:p w14:paraId="154BC498" w14:textId="147C4913" w:rsidR="00551321" w:rsidRPr="00645097" w:rsidRDefault="00551321" w:rsidP="00645097">
      <w:pPr>
        <w:pStyle w:val="Odstavecseseznamem"/>
        <w:widowControl w:val="0"/>
        <w:numPr>
          <w:ilvl w:val="0"/>
          <w:numId w:val="34"/>
        </w:numPr>
        <w:spacing w:after="100" w:line="240" w:lineRule="auto"/>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neoprávněně užije data uložená v počítačovém systému nebo na nosiči informací,</w:t>
      </w:r>
    </w:p>
    <w:p w14:paraId="16C1B36C" w14:textId="1E4CBCBA" w:rsidR="00551321" w:rsidRPr="00645097" w:rsidRDefault="00551321" w:rsidP="00645097">
      <w:pPr>
        <w:pStyle w:val="Odstavecseseznamem"/>
        <w:widowControl w:val="0"/>
        <w:numPr>
          <w:ilvl w:val="0"/>
          <w:numId w:val="34"/>
        </w:numPr>
        <w:spacing w:after="100" w:line="240" w:lineRule="auto"/>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data uložená v počítačovém systému nebo na nosiči informací neoprávněně vymaže nebo jinak zničí, poškodí, změní, potlačí, sníží jejich kvalitu nebo je učiní neupotřebitelnými,</w:t>
      </w:r>
    </w:p>
    <w:p w14:paraId="200CE332" w14:textId="77777777" w:rsidR="00551321" w:rsidRPr="00463867" w:rsidRDefault="00551321" w:rsidP="00645097">
      <w:pPr>
        <w:widowControl w:val="0"/>
        <w:numPr>
          <w:ilvl w:val="0"/>
          <w:numId w:val="34"/>
        </w:numPr>
        <w:tabs>
          <w:tab w:val="left" w:pos="940"/>
        </w:tabs>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padělá nebo pozmění data uložená v počítačovém systému nebo na nosiči informací tak, aby byla považována za pravá nebo podle nich bylo jednáno tak, jako by to byla data pravá, bez ohledu na to, zda jsou tato data přímo čitelná a srozumitelná, nebo</w:t>
      </w:r>
    </w:p>
    <w:p w14:paraId="2974A80B" w14:textId="77777777" w:rsidR="00551321" w:rsidRPr="00463867" w:rsidRDefault="00551321" w:rsidP="00645097">
      <w:pPr>
        <w:widowControl w:val="0"/>
        <w:numPr>
          <w:ilvl w:val="0"/>
          <w:numId w:val="34"/>
        </w:numPr>
        <w:tabs>
          <w:tab w:val="left" w:pos="940"/>
        </w:tabs>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neoprávněně vloží data do počítačového systému nebo na nosič informací nebo učiní jiný zásah do programového nebo technického vybavení počítače nebo jiného technického zařízení pro zpracování dat, může být potrestán odnětím svobody až na dvě léta, zákazem činnosti nebo propadnutím věci nebo jiné majetkové hodnoty.</w:t>
      </w:r>
    </w:p>
    <w:p w14:paraId="7B5F6E48"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Ust. § 230 trestního zákoníku tedy obsahují 2 základní skutkové podstaty:</w:t>
      </w:r>
    </w:p>
    <w:p w14:paraId="1716BA84" w14:textId="77777777" w:rsidR="00551321" w:rsidRPr="00463867" w:rsidRDefault="00551321" w:rsidP="00551321">
      <w:pPr>
        <w:widowControl w:val="0"/>
        <w:spacing w:after="100" w:line="240" w:lineRule="auto"/>
        <w:ind w:left="940" w:hanging="36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a) v odstavci 1 je chráněna důvěrnost počítačových dat a počítačového systému nebo jejich částí a</w:t>
      </w:r>
    </w:p>
    <w:p w14:paraId="5DFE2541" w14:textId="77777777" w:rsidR="00551321" w:rsidRPr="00463867" w:rsidRDefault="00551321" w:rsidP="00551321">
      <w:pPr>
        <w:widowControl w:val="0"/>
        <w:spacing w:after="100" w:line="240" w:lineRule="auto"/>
        <w:ind w:firstLine="58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b) v odstavci 2 jsou chráněny integrita a dostupnost počítačových dat a systémů.</w:t>
      </w:r>
    </w:p>
    <w:p w14:paraId="79E81D81"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Podle ustanovení § 230 odst. 3 písm. b) je okolností podmiňující použití vyšší trestní sazby situace, kdy pachatel spáchá trestný čin podle odst. 1 nebo 2 téhož ustanovení v úmyslu neoprávněně omezit funkčnost počítačového systému nebo jiného technického zařízení pro zpracování dat. Jelikož ustanovení § 230 odst. 1 kriminalizuje již pouhý neoprávněný přístup k počítačovému systému a nevyžaduje se, aby došlo k omezení funkčnosti (postačí, že k tomu směřoval úmysl pachatele), je úprava v trestním zákoníku nad rámec závazku vyplývajícího z Úmluvy o kybernetické kriminalitě. Z hlediska subjektivní stránky je k naplnění skutkových podstat definovaných v ustanovení § 230 trestního zákoníku vyžadováno zavinění ve formě úmyslu.</w:t>
      </w:r>
    </w:p>
    <w:p w14:paraId="58C0D779"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S cílem dostát závazkům plynoucím z Úmluvy o počítačové kriminalitě (čl. 6) byla do trestního zákoníku nově zařazena skutková podstata tr. činu </w:t>
      </w:r>
      <w:r w:rsidRPr="00463867">
        <w:rPr>
          <w:rFonts w:ascii="Arial Narrow" w:eastAsia="Times New Roman" w:hAnsi="Arial Narrow" w:cs="Times New Roman"/>
          <w:b/>
          <w:bCs/>
          <w:color w:val="000000"/>
          <w:sz w:val="24"/>
          <w:szCs w:val="24"/>
          <w:lang w:eastAsia="cs-CZ" w:bidi="cs-CZ"/>
        </w:rPr>
        <w:t xml:space="preserve">opatření a přechovávání přístupového zařízení a hesla k počítačovému systému a jiných takových dat </w:t>
      </w:r>
      <w:r w:rsidRPr="00463867">
        <w:rPr>
          <w:rFonts w:ascii="Arial Narrow" w:eastAsia="Times New Roman" w:hAnsi="Arial Narrow" w:cs="Times New Roman"/>
          <w:color w:val="000000"/>
          <w:sz w:val="24"/>
          <w:szCs w:val="24"/>
          <w:lang w:eastAsia="cs-CZ" w:bidi="cs-CZ"/>
        </w:rPr>
        <w:t xml:space="preserve">podle § 231 odst. 1 trestního zákoníku, která </w:t>
      </w:r>
      <w:r w:rsidRPr="00463867">
        <w:rPr>
          <w:rFonts w:ascii="Arial Narrow" w:eastAsia="Times New Roman" w:hAnsi="Arial Narrow" w:cs="Times New Roman"/>
          <w:color w:val="000000"/>
          <w:sz w:val="24"/>
          <w:szCs w:val="24"/>
          <w:lang w:eastAsia="cs-CZ" w:bidi="cs-CZ"/>
        </w:rPr>
        <w:lastRenderedPageBreak/>
        <w:t>kriminalizuje jednání pachatele, jež spočívá již v pouhém držení, výrobě, zpřístupňování nebo jiném nakládání s prostředky, postupy nebo nástroji užívanými ke spáchání vlastních kybernetických útoků, tj. svou povahou přípravné jednání k trestným činům porušení tajemství dopravovaných zpráv podle § 182 odst. 1 písm. b). c) nebo neoprávněného přístupu k počítačovému systému a nosiči informací podle § 230 odst. 1, odst. 2 (tzv. předčasně dokonaný trestný čin).</w:t>
      </w:r>
    </w:p>
    <w:p w14:paraId="79170F4D"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Objektem tohoto trestného činu je zájem na ochraně společnosti a osob před možným ohrožením vyplývajícím z nekontrolovaného opatření a přechovávání zařízení, nástrojů a prostředků, jež primárně slouží ke spáchání trestných činů porušení tajemství dopravovaných zpráv podle ustanovení § 182 odst. 1 písm. b), c) nebo neoprávněného přístupu k počítačovému systému a nosiči informací podle ustanovení § 230 odst. 1, 2.</w:t>
      </w:r>
      <w:r w:rsidRPr="00463867">
        <w:rPr>
          <w:rFonts w:ascii="Arial Narrow" w:eastAsia="Calibri" w:hAnsi="Arial Narrow" w:cs="Calibri"/>
          <w:color w:val="000000"/>
          <w:sz w:val="16"/>
          <w:szCs w:val="16"/>
          <w:vertAlign w:val="superscript"/>
          <w:lang w:eastAsia="cs-CZ" w:bidi="cs-CZ"/>
        </w:rPr>
        <w:footnoteReference w:id="23"/>
      </w:r>
      <w:r w:rsidRPr="00463867">
        <w:rPr>
          <w:rFonts w:ascii="Arial Narrow" w:eastAsia="Calibri" w:hAnsi="Arial Narrow" w:cs="Calibri"/>
          <w:color w:val="000000"/>
          <w:sz w:val="16"/>
          <w:szCs w:val="16"/>
          <w:lang w:eastAsia="cs-CZ" w:bidi="cs-CZ"/>
        </w:rPr>
        <w:t xml:space="preserve"> </w:t>
      </w:r>
      <w:r w:rsidRPr="00463867">
        <w:rPr>
          <w:rFonts w:ascii="Arial Narrow" w:eastAsia="Times New Roman" w:hAnsi="Arial Narrow" w:cs="Times New Roman"/>
          <w:color w:val="000000"/>
          <w:sz w:val="24"/>
          <w:szCs w:val="24"/>
          <w:lang w:eastAsia="cs-CZ" w:bidi="cs-CZ"/>
        </w:rPr>
        <w:t>Z hlediska subjektivní stránky je k naplnění skutkové podstaty definované v ustanovení § 231 trestního zákoníku vyžadováno zavinění ve formě úmyslu a to tak, že úmysl musí směřovat ke spáchání některého z uvedených trestných činů. To znamená, že opatření a přechovávání přístupového zařízení a hesla samo o sobě bez takového úmyslu trestné není. Neoznámení ani nepřekažení tohoto trestného činu nejsou trestné.</w:t>
      </w:r>
    </w:p>
    <w:p w14:paraId="04B2EEB8"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Trestného čin </w:t>
      </w:r>
      <w:r w:rsidRPr="00463867">
        <w:rPr>
          <w:rFonts w:ascii="Arial Narrow" w:eastAsia="Times New Roman" w:hAnsi="Arial Narrow" w:cs="Times New Roman"/>
          <w:b/>
          <w:bCs/>
          <w:color w:val="000000"/>
          <w:sz w:val="24"/>
          <w:szCs w:val="24"/>
          <w:lang w:eastAsia="cs-CZ" w:bidi="cs-CZ"/>
        </w:rPr>
        <w:t>poškození záznamu v počítačovém systému a na nosiči informací a zásah do vybavení počítače z nedbalosti podle § 232 trestního zákoníku se dopustí ten, k</w:t>
      </w:r>
      <w:r w:rsidRPr="00463867">
        <w:rPr>
          <w:rFonts w:ascii="Arial Narrow" w:eastAsia="Times New Roman" w:hAnsi="Arial Narrow" w:cs="Times New Roman"/>
          <w:color w:val="000000"/>
          <w:sz w:val="24"/>
          <w:szCs w:val="24"/>
          <w:lang w:eastAsia="cs-CZ" w:bidi="cs-CZ"/>
        </w:rPr>
        <w:t>do z hrubé nedbalosti porušením povinnosti vyplývající ze zaměstnání, povolání, postavení nebo funkce nebo uložené podle zákona nebo smluvně převzaté</w:t>
      </w:r>
    </w:p>
    <w:p w14:paraId="5F7CB221" w14:textId="2E1369C8" w:rsidR="00551321" w:rsidRPr="00645097" w:rsidRDefault="00551321" w:rsidP="00645097">
      <w:pPr>
        <w:pStyle w:val="Odstavecseseznamem"/>
        <w:widowControl w:val="0"/>
        <w:numPr>
          <w:ilvl w:val="0"/>
          <w:numId w:val="35"/>
        </w:numPr>
        <w:spacing w:after="100" w:line="240" w:lineRule="auto"/>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data uložená v počítačovém systému nebo na nosiči informací zničí, poškodí, pozmění nebo učiní neupotřebitelnými, nebo</w:t>
      </w:r>
    </w:p>
    <w:p w14:paraId="4DCA790C" w14:textId="743B42B1" w:rsidR="00551321" w:rsidRPr="00645097" w:rsidRDefault="00551321" w:rsidP="00645097">
      <w:pPr>
        <w:pStyle w:val="Odstavecseseznamem"/>
        <w:widowControl w:val="0"/>
        <w:numPr>
          <w:ilvl w:val="0"/>
          <w:numId w:val="35"/>
        </w:numPr>
        <w:spacing w:after="100" w:line="240" w:lineRule="auto"/>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 nebo jiné majetkové hodnoty.</w:t>
      </w:r>
    </w:p>
    <w:p w14:paraId="6B92B220"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Úprava ustanovení § 232 trestního zákoníku jde nad rámec závazků vyplývajících z mezinárodních smluv nebo unijního práva. Objektem je v tomto případě ochrana dat a technického a programového vybavení počítače před nedbalostním poškozovacím jednáním, pokud je těmito zásahy způsobena značná škoda.</w:t>
      </w:r>
    </w:p>
    <w:p w14:paraId="75C85D9F"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Z důvodu, že kriminalizace nedbalostního jednání je v tomto případě i s ohledem na zásadu subsidiarity trestněprávní represe (§ 12 odst. 2 trestního zákoníku) poněkud diskutabilní, tak byla trestní odpovědnost omezena na případy hrubé nedbalosti a zároveň způsobení škody značného rozsahu.</w:t>
      </w:r>
    </w:p>
    <w:p w14:paraId="22BCA176" w14:textId="77777777" w:rsidR="00551321" w:rsidRPr="00463867" w:rsidRDefault="00551321" w:rsidP="00551321">
      <w:pPr>
        <w:keepNext/>
        <w:keepLines/>
        <w:widowControl w:val="0"/>
        <w:spacing w:after="100" w:line="240" w:lineRule="auto"/>
        <w:jc w:val="both"/>
        <w:outlineLvl w:val="4"/>
        <w:rPr>
          <w:rFonts w:ascii="Arial Narrow" w:eastAsia="Times New Roman" w:hAnsi="Arial Narrow" w:cs="Times New Roman"/>
          <w:b/>
          <w:bCs/>
          <w:sz w:val="24"/>
          <w:szCs w:val="24"/>
          <w:lang w:eastAsia="cs-CZ" w:bidi="cs-CZ"/>
        </w:rPr>
      </w:pPr>
      <w:bookmarkStart w:id="14" w:name="bookmark956"/>
      <w:bookmarkStart w:id="15" w:name="bookmark957"/>
      <w:r w:rsidRPr="00463867">
        <w:rPr>
          <w:rFonts w:ascii="Arial Narrow" w:eastAsia="Times New Roman" w:hAnsi="Arial Narrow" w:cs="Times New Roman"/>
          <w:b/>
          <w:bCs/>
          <w:color w:val="000000"/>
          <w:sz w:val="24"/>
          <w:szCs w:val="24"/>
          <w:lang w:eastAsia="cs-CZ" w:bidi="cs-CZ"/>
        </w:rPr>
        <w:t>Tabulka č. 1 - Nápad trestných činů podle § 230 - 232 trestního zákoníku</w:t>
      </w:r>
      <w:bookmarkEnd w:id="14"/>
      <w:bookmarkEnd w:id="15"/>
    </w:p>
    <w:tbl>
      <w:tblPr>
        <w:tblOverlap w:val="never"/>
        <w:tblW w:w="0" w:type="auto"/>
        <w:jc w:val="center"/>
        <w:tblLayout w:type="fixed"/>
        <w:tblCellMar>
          <w:left w:w="10" w:type="dxa"/>
          <w:right w:w="10" w:type="dxa"/>
        </w:tblCellMar>
        <w:tblLook w:val="04A0" w:firstRow="1" w:lastRow="0" w:firstColumn="1" w:lastColumn="0" w:noHBand="0" w:noVBand="1"/>
      </w:tblPr>
      <w:tblGrid>
        <w:gridCol w:w="1440"/>
        <w:gridCol w:w="1709"/>
      </w:tblGrid>
      <w:tr w:rsidR="00551321" w:rsidRPr="00463867" w14:paraId="239AD71F" w14:textId="77777777" w:rsidTr="00645097">
        <w:trPr>
          <w:trHeight w:hRule="exact" w:val="821"/>
          <w:jc w:val="center"/>
        </w:trPr>
        <w:tc>
          <w:tcPr>
            <w:tcW w:w="3149" w:type="dxa"/>
            <w:gridSpan w:val="2"/>
            <w:tcBorders>
              <w:top w:val="single" w:sz="4" w:space="0" w:color="auto"/>
              <w:left w:val="single" w:sz="4" w:space="0" w:color="auto"/>
              <w:right w:val="single" w:sz="4" w:space="0" w:color="auto"/>
            </w:tcBorders>
            <w:shd w:val="clear" w:color="auto" w:fill="FFFFFF"/>
          </w:tcPr>
          <w:p w14:paraId="398AF9B8" w14:textId="77777777" w:rsidR="00551321" w:rsidRPr="00463867" w:rsidRDefault="00551321" w:rsidP="00551321">
            <w:pPr>
              <w:widowControl w:val="0"/>
              <w:spacing w:after="0" w:line="346" w:lineRule="auto"/>
              <w:jc w:val="center"/>
              <w:rPr>
                <w:rFonts w:ascii="Arial Narrow" w:eastAsia="Times New Roman" w:hAnsi="Arial Narrow" w:cs="Times New Roman"/>
                <w:sz w:val="24"/>
                <w:szCs w:val="24"/>
                <w:lang w:eastAsia="cs-CZ" w:bidi="cs-CZ"/>
              </w:rPr>
            </w:pPr>
            <w:r w:rsidRPr="00463867">
              <w:rPr>
                <w:rFonts w:ascii="Arial Narrow" w:eastAsia="Times New Roman" w:hAnsi="Arial Narrow" w:cs="Times New Roman"/>
                <w:b/>
                <w:bCs/>
                <w:color w:val="000000"/>
                <w:sz w:val="24"/>
                <w:szCs w:val="24"/>
                <w:lang w:eastAsia="cs-CZ" w:bidi="cs-CZ"/>
              </w:rPr>
              <w:t>Tr. činy podle § 230 - 232 TZk</w:t>
            </w:r>
          </w:p>
        </w:tc>
      </w:tr>
      <w:tr w:rsidR="00551321" w:rsidRPr="00463867" w14:paraId="6EB92F6D" w14:textId="77777777" w:rsidTr="00645097">
        <w:trPr>
          <w:trHeight w:hRule="exact" w:val="413"/>
          <w:jc w:val="center"/>
        </w:trPr>
        <w:tc>
          <w:tcPr>
            <w:tcW w:w="1440" w:type="dxa"/>
            <w:tcBorders>
              <w:top w:val="single" w:sz="4" w:space="0" w:color="auto"/>
              <w:left w:val="single" w:sz="4" w:space="0" w:color="auto"/>
            </w:tcBorders>
            <w:shd w:val="clear" w:color="auto" w:fill="FFFFFF"/>
          </w:tcPr>
          <w:p w14:paraId="063B7A7C" w14:textId="77777777" w:rsidR="00551321" w:rsidRPr="00463867" w:rsidRDefault="00551321" w:rsidP="00551321">
            <w:pPr>
              <w:widowControl w:val="0"/>
              <w:spacing w:after="0" w:line="240" w:lineRule="auto"/>
              <w:jc w:val="center"/>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rok</w:t>
            </w:r>
          </w:p>
        </w:tc>
        <w:tc>
          <w:tcPr>
            <w:tcW w:w="1709" w:type="dxa"/>
            <w:tcBorders>
              <w:top w:val="single" w:sz="4" w:space="0" w:color="auto"/>
              <w:left w:val="single" w:sz="4" w:space="0" w:color="auto"/>
              <w:right w:val="single" w:sz="4" w:space="0" w:color="auto"/>
            </w:tcBorders>
            <w:shd w:val="clear" w:color="auto" w:fill="FFFFFF"/>
          </w:tcPr>
          <w:p w14:paraId="32D69FB2" w14:textId="77777777" w:rsidR="00551321" w:rsidRPr="00463867" w:rsidRDefault="00551321" w:rsidP="00551321">
            <w:pPr>
              <w:widowControl w:val="0"/>
              <w:spacing w:after="0" w:line="240" w:lineRule="auto"/>
              <w:jc w:val="center"/>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nápad</w:t>
            </w:r>
          </w:p>
        </w:tc>
      </w:tr>
      <w:tr w:rsidR="00551321" w:rsidRPr="00463867" w14:paraId="37250EFC" w14:textId="77777777" w:rsidTr="00645097">
        <w:trPr>
          <w:trHeight w:hRule="exact" w:val="408"/>
          <w:jc w:val="center"/>
        </w:trPr>
        <w:tc>
          <w:tcPr>
            <w:tcW w:w="1440" w:type="dxa"/>
            <w:tcBorders>
              <w:top w:val="single" w:sz="4" w:space="0" w:color="auto"/>
              <w:left w:val="single" w:sz="4" w:space="0" w:color="auto"/>
            </w:tcBorders>
            <w:shd w:val="clear" w:color="auto" w:fill="FFFFFF"/>
          </w:tcPr>
          <w:p w14:paraId="631E3A41" w14:textId="77777777" w:rsidR="00551321" w:rsidRPr="00463867" w:rsidRDefault="00551321" w:rsidP="00551321">
            <w:pPr>
              <w:widowControl w:val="0"/>
              <w:spacing w:after="0" w:line="240" w:lineRule="auto"/>
              <w:jc w:val="center"/>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2015</w:t>
            </w:r>
          </w:p>
        </w:tc>
        <w:tc>
          <w:tcPr>
            <w:tcW w:w="1709" w:type="dxa"/>
            <w:tcBorders>
              <w:top w:val="single" w:sz="4" w:space="0" w:color="auto"/>
              <w:left w:val="single" w:sz="4" w:space="0" w:color="auto"/>
              <w:right w:val="single" w:sz="4" w:space="0" w:color="auto"/>
            </w:tcBorders>
            <w:shd w:val="clear" w:color="auto" w:fill="FFFFFF"/>
          </w:tcPr>
          <w:p w14:paraId="19ADAF26" w14:textId="77777777" w:rsidR="00551321" w:rsidRPr="00463867" w:rsidRDefault="00551321" w:rsidP="00551321">
            <w:pPr>
              <w:widowControl w:val="0"/>
              <w:spacing w:after="0" w:line="240" w:lineRule="auto"/>
              <w:jc w:val="center"/>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707</w:t>
            </w:r>
          </w:p>
        </w:tc>
      </w:tr>
      <w:tr w:rsidR="00551321" w:rsidRPr="00463867" w14:paraId="36894272" w14:textId="77777777" w:rsidTr="00645097">
        <w:trPr>
          <w:trHeight w:hRule="exact" w:val="403"/>
          <w:jc w:val="center"/>
        </w:trPr>
        <w:tc>
          <w:tcPr>
            <w:tcW w:w="1440" w:type="dxa"/>
            <w:tcBorders>
              <w:top w:val="single" w:sz="4" w:space="0" w:color="auto"/>
              <w:left w:val="single" w:sz="4" w:space="0" w:color="auto"/>
            </w:tcBorders>
            <w:shd w:val="clear" w:color="auto" w:fill="FFFFFF"/>
            <w:vAlign w:val="center"/>
          </w:tcPr>
          <w:p w14:paraId="23BCACA5" w14:textId="77777777" w:rsidR="00551321" w:rsidRPr="00463867" w:rsidRDefault="00551321" w:rsidP="00551321">
            <w:pPr>
              <w:widowControl w:val="0"/>
              <w:spacing w:after="0" w:line="240" w:lineRule="auto"/>
              <w:jc w:val="center"/>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2016</w:t>
            </w:r>
          </w:p>
        </w:tc>
        <w:tc>
          <w:tcPr>
            <w:tcW w:w="1709" w:type="dxa"/>
            <w:tcBorders>
              <w:top w:val="single" w:sz="4" w:space="0" w:color="auto"/>
              <w:left w:val="single" w:sz="4" w:space="0" w:color="auto"/>
              <w:right w:val="single" w:sz="4" w:space="0" w:color="auto"/>
            </w:tcBorders>
            <w:shd w:val="clear" w:color="auto" w:fill="FFFFFF"/>
          </w:tcPr>
          <w:p w14:paraId="1837FA47" w14:textId="77777777" w:rsidR="00551321" w:rsidRPr="00463867" w:rsidRDefault="00551321" w:rsidP="00551321">
            <w:pPr>
              <w:widowControl w:val="0"/>
              <w:spacing w:after="0" w:line="240" w:lineRule="auto"/>
              <w:jc w:val="center"/>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635</w:t>
            </w:r>
          </w:p>
        </w:tc>
      </w:tr>
      <w:tr w:rsidR="00551321" w:rsidRPr="00463867" w14:paraId="23213614" w14:textId="77777777" w:rsidTr="00645097">
        <w:trPr>
          <w:trHeight w:hRule="exact" w:val="418"/>
          <w:jc w:val="center"/>
        </w:trPr>
        <w:tc>
          <w:tcPr>
            <w:tcW w:w="1440" w:type="dxa"/>
            <w:tcBorders>
              <w:top w:val="single" w:sz="4" w:space="0" w:color="auto"/>
              <w:left w:val="single" w:sz="4" w:space="0" w:color="auto"/>
              <w:bottom w:val="single" w:sz="4" w:space="0" w:color="auto"/>
            </w:tcBorders>
            <w:shd w:val="clear" w:color="auto" w:fill="FFFFFF"/>
          </w:tcPr>
          <w:p w14:paraId="4AC6E249" w14:textId="77777777" w:rsidR="00551321" w:rsidRPr="00463867" w:rsidRDefault="00551321" w:rsidP="00551321">
            <w:pPr>
              <w:widowControl w:val="0"/>
              <w:spacing w:after="0" w:line="240" w:lineRule="auto"/>
              <w:jc w:val="center"/>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2017</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4AE3E050" w14:textId="77777777" w:rsidR="00551321" w:rsidRPr="00463867" w:rsidRDefault="00551321" w:rsidP="00551321">
            <w:pPr>
              <w:widowControl w:val="0"/>
              <w:spacing w:after="0" w:line="240" w:lineRule="auto"/>
              <w:jc w:val="center"/>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784</w:t>
            </w:r>
          </w:p>
        </w:tc>
      </w:tr>
    </w:tbl>
    <w:p w14:paraId="2CC3A673" w14:textId="77777777" w:rsidR="00551321" w:rsidRPr="00463867" w:rsidRDefault="00551321" w:rsidP="00551321">
      <w:pPr>
        <w:widowControl w:val="0"/>
        <w:spacing w:after="479" w:line="1" w:lineRule="exact"/>
        <w:rPr>
          <w:rFonts w:ascii="Arial Narrow" w:eastAsia="Courier New" w:hAnsi="Arial Narrow" w:cs="Courier New"/>
          <w:color w:val="000000"/>
          <w:sz w:val="24"/>
          <w:szCs w:val="24"/>
          <w:lang w:eastAsia="cs-CZ" w:bidi="cs-CZ"/>
        </w:rPr>
      </w:pPr>
    </w:p>
    <w:p w14:paraId="20244C21" w14:textId="77777777" w:rsidR="00551321" w:rsidRPr="00463867" w:rsidRDefault="00551321" w:rsidP="00551321">
      <w:pPr>
        <w:keepNext/>
        <w:keepLines/>
        <w:widowControl w:val="0"/>
        <w:numPr>
          <w:ilvl w:val="0"/>
          <w:numId w:val="20"/>
        </w:numPr>
        <w:tabs>
          <w:tab w:val="left" w:pos="366"/>
        </w:tabs>
        <w:spacing w:after="100" w:line="240" w:lineRule="auto"/>
        <w:ind w:left="380" w:hanging="380"/>
        <w:jc w:val="both"/>
        <w:outlineLvl w:val="4"/>
        <w:rPr>
          <w:rFonts w:ascii="Arial Narrow" w:eastAsia="Times New Roman" w:hAnsi="Arial Narrow" w:cs="Times New Roman"/>
          <w:b/>
          <w:bCs/>
          <w:sz w:val="24"/>
          <w:szCs w:val="24"/>
          <w:lang w:eastAsia="cs-CZ" w:bidi="cs-CZ"/>
        </w:rPr>
      </w:pPr>
      <w:bookmarkStart w:id="16" w:name="bookmark966"/>
      <w:bookmarkStart w:id="17" w:name="bookmark967"/>
      <w:r w:rsidRPr="00463867">
        <w:rPr>
          <w:rFonts w:ascii="Arial Narrow" w:eastAsia="Times New Roman" w:hAnsi="Arial Narrow" w:cs="Times New Roman"/>
          <w:b/>
          <w:bCs/>
          <w:color w:val="000000"/>
          <w:sz w:val="24"/>
          <w:szCs w:val="24"/>
          <w:lang w:eastAsia="cs-CZ" w:bidi="cs-CZ"/>
        </w:rPr>
        <w:t>porušení autorského práva</w:t>
      </w:r>
      <w:r w:rsidRPr="00463867">
        <w:rPr>
          <w:rFonts w:ascii="Arial Narrow" w:eastAsia="Times New Roman" w:hAnsi="Arial Narrow" w:cs="Times New Roman"/>
          <w:color w:val="000000"/>
          <w:sz w:val="24"/>
          <w:szCs w:val="24"/>
          <w:lang w:eastAsia="cs-CZ" w:bidi="cs-CZ"/>
        </w:rPr>
        <w:t xml:space="preserve">, </w:t>
      </w:r>
      <w:r w:rsidRPr="00463867">
        <w:rPr>
          <w:rFonts w:ascii="Arial Narrow" w:eastAsia="Times New Roman" w:hAnsi="Arial Narrow" w:cs="Times New Roman"/>
          <w:b/>
          <w:bCs/>
          <w:color w:val="000000"/>
          <w:sz w:val="24"/>
          <w:szCs w:val="24"/>
          <w:lang w:eastAsia="cs-CZ" w:bidi="cs-CZ"/>
        </w:rPr>
        <w:t>práv souvisejících s právem autorským a práv k databázi podle § 270 tr. zákoníku</w:t>
      </w:r>
      <w:bookmarkEnd w:id="16"/>
      <w:bookmarkEnd w:id="17"/>
    </w:p>
    <w:p w14:paraId="2B8942AA" w14:textId="77777777" w:rsidR="00551321" w:rsidRPr="00463867" w:rsidRDefault="00551321" w:rsidP="00551321">
      <w:pPr>
        <w:widowControl w:val="0"/>
        <w:spacing w:after="100" w:line="240" w:lineRule="auto"/>
        <w:jc w:val="both"/>
        <w:rPr>
          <w:rFonts w:ascii="Arial Narrow" w:eastAsia="Times New Roman" w:hAnsi="Arial Narrow" w:cs="Times New Roman"/>
          <w:sz w:val="9"/>
          <w:szCs w:val="9"/>
          <w:lang w:eastAsia="cs-CZ" w:bidi="cs-CZ"/>
        </w:rPr>
      </w:pPr>
      <w:r w:rsidRPr="00463867">
        <w:rPr>
          <w:rFonts w:ascii="Arial Narrow" w:eastAsia="Times New Roman" w:hAnsi="Arial Narrow" w:cs="Times New Roman"/>
          <w:color w:val="000000"/>
          <w:sz w:val="24"/>
          <w:szCs w:val="24"/>
          <w:lang w:eastAsia="cs-CZ" w:bidi="cs-CZ"/>
        </w:rPr>
        <w:t xml:space="preserve">Podle judikatury se za neoprávněný zásah do zákonem chráněných práv ve smyslu § 270 odst. 1 trestního zákoníku rozumí i takové jednání pachatele, který v prostoru vyhrazeném pro své internetové stránky </w:t>
      </w:r>
      <w:r w:rsidRPr="00463867">
        <w:rPr>
          <w:rFonts w:ascii="Arial Narrow" w:eastAsia="Times New Roman" w:hAnsi="Arial Narrow" w:cs="Times New Roman"/>
          <w:color w:val="000000"/>
          <w:sz w:val="24"/>
          <w:szCs w:val="24"/>
          <w:lang w:eastAsia="cs-CZ" w:bidi="cs-CZ"/>
        </w:rPr>
        <w:lastRenderedPageBreak/>
        <w:t>umístí odkazy umožňující neoprávněný přístup k rozmnoženinám děl umístěným na externích serverech tak, že kdokoli k nim může mít prostřednictvím takové stránky přístup, aniž by k tomu měl souhlas nositelů autorských práv, a využije tzv. hostingu s možností uložení dat na serveru. Pachatel, který takovým jednáním umožní přístup k rozmnoženině díla, aniž by k tomu byl oprávněn, poruší autorská práva k jednotlivým dílům a poruší práva na sdělování díla veřejnosti ve smyslu § 18 odst. 1, 2 autorského zákona.</w:t>
      </w:r>
      <w:r w:rsidRPr="00463867">
        <w:rPr>
          <w:rFonts w:ascii="Arial Narrow" w:eastAsia="Arial" w:hAnsi="Arial Narrow" w:cs="Arial"/>
          <w:b/>
          <w:bCs/>
          <w:color w:val="000000"/>
          <w:sz w:val="9"/>
          <w:szCs w:val="9"/>
          <w:vertAlign w:val="superscript"/>
          <w:lang w:eastAsia="cs-CZ" w:bidi="cs-CZ"/>
        </w:rPr>
        <w:footnoteReference w:id="24"/>
      </w:r>
    </w:p>
    <w:p w14:paraId="4BCF41D5"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Na základě Úmluvy o kybernetické kriminalitě zavedl </w:t>
      </w:r>
      <w:r w:rsidRPr="00463867">
        <w:rPr>
          <w:rFonts w:ascii="Arial Narrow" w:eastAsia="Times New Roman" w:hAnsi="Arial Narrow" w:cs="Times New Roman"/>
          <w:b/>
          <w:bCs/>
          <w:color w:val="000000"/>
          <w:sz w:val="24"/>
          <w:szCs w:val="24"/>
          <w:lang w:eastAsia="cs-CZ" w:bidi="cs-CZ"/>
        </w:rPr>
        <w:t xml:space="preserve">zákon č. 418/2011 Sb., o trestní odpovědnosti právnických osob a řízení proti nim </w:t>
      </w:r>
      <w:r w:rsidRPr="00463867">
        <w:rPr>
          <w:rFonts w:ascii="Arial Narrow" w:eastAsia="Times New Roman" w:hAnsi="Arial Narrow" w:cs="Times New Roman"/>
          <w:color w:val="000000"/>
          <w:sz w:val="24"/>
          <w:szCs w:val="24"/>
          <w:lang w:eastAsia="cs-CZ" w:bidi="cs-CZ"/>
        </w:rPr>
        <w:t xml:space="preserve">trestní odpovědnost právnických osob, a tím </w:t>
      </w:r>
      <w:r w:rsidRPr="00463867">
        <w:rPr>
          <w:rFonts w:ascii="Arial Narrow" w:eastAsia="Times New Roman" w:hAnsi="Arial Narrow" w:cs="Times New Roman"/>
          <w:b/>
          <w:bCs/>
          <w:color w:val="000000"/>
          <w:sz w:val="24"/>
          <w:szCs w:val="24"/>
          <w:lang w:eastAsia="cs-CZ" w:bidi="cs-CZ"/>
        </w:rPr>
        <w:t xml:space="preserve">stíhat, odsoudit a potrestat právnickou osobu, která spáchala trestný čin. </w:t>
      </w:r>
      <w:r w:rsidRPr="00463867">
        <w:rPr>
          <w:rFonts w:ascii="Arial Narrow" w:eastAsia="Times New Roman" w:hAnsi="Arial Narrow" w:cs="Times New Roman"/>
          <w:color w:val="000000"/>
          <w:sz w:val="24"/>
          <w:szCs w:val="24"/>
          <w:lang w:eastAsia="cs-CZ" w:bidi="cs-CZ"/>
        </w:rPr>
        <w:t>Pokud zákon nestanoví jinak, použije se na trestní odpovědnost právnických osob trestní zákoník. Odpovědnost za trestný čin právnické osobě vzniká, pokud statutární orgán, jeho člen nebo jiná osoba ve vedoucím postavení, nebo s rozhodujícím vlivem na řízení, nebo zaměstnanec právnické osoby při plnění pracovních povinností páchá protiprávní čin v zájmu právnické osoby nebo v rámci její činnosti. Druhou podmínkou pro vznik trestní odpovědnosti právnické osoby za jednání jejího zaměstnance je, že se musí jednat o čin schválený nebo na pokyn některé z osob ve vedoucím postavení nebo s rozhodujícím vlivem.</w:t>
      </w:r>
    </w:p>
    <w:p w14:paraId="691D6C8E" w14:textId="77777777" w:rsidR="00551321" w:rsidRPr="00463867" w:rsidRDefault="00551321" w:rsidP="00551321">
      <w:pPr>
        <w:widowControl w:val="0"/>
        <w:spacing w:after="100" w:line="240" w:lineRule="auto"/>
        <w:jc w:val="both"/>
        <w:rPr>
          <w:rFonts w:ascii="Arial Narrow" w:eastAsia="Times New Roman" w:hAnsi="Arial Narrow" w:cs="Times New Roman"/>
          <w:sz w:val="9"/>
          <w:szCs w:val="9"/>
          <w:lang w:eastAsia="cs-CZ" w:bidi="cs-CZ"/>
        </w:rPr>
      </w:pPr>
      <w:r w:rsidRPr="00463867">
        <w:rPr>
          <w:rFonts w:ascii="Arial Narrow" w:eastAsia="Times New Roman" w:hAnsi="Arial Narrow" w:cs="Times New Roman"/>
          <w:color w:val="000000"/>
          <w:sz w:val="24"/>
          <w:szCs w:val="24"/>
          <w:lang w:eastAsia="cs-CZ" w:bidi="cs-CZ"/>
        </w:rPr>
        <w:t xml:space="preserve">Právní úprava, která se týká kybernetické bezpečnosti v ČR, je obsažena zejména v </w:t>
      </w:r>
      <w:r w:rsidRPr="00463867">
        <w:rPr>
          <w:rFonts w:ascii="Arial Narrow" w:eastAsia="Times New Roman" w:hAnsi="Arial Narrow" w:cs="Times New Roman"/>
          <w:b/>
          <w:bCs/>
          <w:color w:val="000000"/>
          <w:sz w:val="24"/>
          <w:szCs w:val="24"/>
          <w:lang w:eastAsia="cs-CZ" w:bidi="cs-CZ"/>
        </w:rPr>
        <w:t>zákoně č. 181/2014 Sb., o kybernetické bezpečnosti a o změně souvisejících zákonů</w:t>
      </w:r>
      <w:r w:rsidRPr="00463867">
        <w:rPr>
          <w:rFonts w:ascii="Arial Narrow" w:eastAsia="Times New Roman" w:hAnsi="Arial Narrow" w:cs="Times New Roman"/>
          <w:color w:val="000000"/>
          <w:sz w:val="24"/>
          <w:szCs w:val="24"/>
          <w:lang w:eastAsia="cs-CZ" w:bidi="cs-CZ"/>
        </w:rPr>
        <w:t>. Přijetím tohoto předpisu došlo s účinností od 1. ledna 2015 ke zvýšení efektivity řešení kybernetických incidentů, a to stanovením podmínek spolupráce mezi veřejnou správou a soukromými osobami. Charakterizuje kybernetický bezpečnostní incident jako narušení bezpečnosti informací v informačních systémech nebo narušení bezpečnosti služeb anebo bezpečnosti a integrity sítí elektronických komunikací. Základním cílem zákona o kybernetické bezpečnosti je zvýšit bezpečnost kybernetického prostoru a zejména se snažit ochránit tu část infrastruktury, která je pro fungování státu důležitá a jejíž narušení by vedlo k poškození nebo ohrožení zájmu České republiky.</w:t>
      </w:r>
      <w:r w:rsidRPr="00463867">
        <w:rPr>
          <w:rFonts w:ascii="Arial Narrow" w:eastAsia="Arial" w:hAnsi="Arial Narrow" w:cs="Arial"/>
          <w:b/>
          <w:bCs/>
          <w:color w:val="000000"/>
          <w:sz w:val="9"/>
          <w:szCs w:val="9"/>
          <w:vertAlign w:val="superscript"/>
          <w:lang w:eastAsia="cs-CZ" w:bidi="cs-CZ"/>
        </w:rPr>
        <w:footnoteReference w:id="25"/>
      </w:r>
    </w:p>
    <w:p w14:paraId="28DA7E2C" w14:textId="77777777" w:rsidR="00551321" w:rsidRPr="00463867" w:rsidRDefault="00551321" w:rsidP="00645097">
      <w:pPr>
        <w:widowControl w:val="0"/>
        <w:spacing w:after="100" w:afterAutospacing="1"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Na základě zákona o kybernetické bezpečnosti došlo ke zřízení </w:t>
      </w:r>
      <w:r w:rsidRPr="00463867">
        <w:rPr>
          <w:rFonts w:ascii="Arial Narrow" w:eastAsia="Times New Roman" w:hAnsi="Arial Narrow" w:cs="Times New Roman"/>
          <w:b/>
          <w:bCs/>
          <w:color w:val="000000"/>
          <w:sz w:val="24"/>
          <w:szCs w:val="24"/>
          <w:lang w:eastAsia="cs-CZ" w:bidi="cs-CZ"/>
        </w:rPr>
        <w:t>Národního úřadu pro kybernetickou a informační bezpečnost</w:t>
      </w:r>
      <w:r w:rsidRPr="00463867">
        <w:rPr>
          <w:rFonts w:ascii="Arial Narrow" w:eastAsia="Times New Roman" w:hAnsi="Arial Narrow" w:cs="Times New Roman"/>
          <w:color w:val="000000"/>
          <w:sz w:val="24"/>
          <w:szCs w:val="24"/>
          <w:lang w:eastAsia="cs-CZ" w:bidi="cs-CZ"/>
        </w:rPr>
        <w:t>, jehož činnost byla zahájena dne 1. srpna 2017. Tento úřad převzal činnost Národního centra kybernetické bezpečnosti, které spadalo pod Národní bezpečnostní úřad. Součástí úřadu je tzv. Vládní CERT (Computer Emergency Response Team), což je specializovaný tým pro prevenci a řešení bezpečnostních incidentů v počítačových sítích.</w:t>
      </w:r>
    </w:p>
    <w:p w14:paraId="612717C1" w14:textId="77777777" w:rsidR="00551321" w:rsidRPr="00463867" w:rsidRDefault="00551321" w:rsidP="00551321">
      <w:pPr>
        <w:keepNext/>
        <w:keepLines/>
        <w:widowControl w:val="0"/>
        <w:numPr>
          <w:ilvl w:val="0"/>
          <w:numId w:val="22"/>
        </w:numPr>
        <w:tabs>
          <w:tab w:val="left" w:pos="427"/>
        </w:tabs>
        <w:spacing w:after="100" w:line="240" w:lineRule="auto"/>
        <w:jc w:val="both"/>
        <w:outlineLvl w:val="4"/>
        <w:rPr>
          <w:rFonts w:ascii="Arial Narrow" w:eastAsia="Times New Roman" w:hAnsi="Arial Narrow" w:cs="Times New Roman"/>
          <w:b/>
          <w:bCs/>
          <w:sz w:val="24"/>
          <w:szCs w:val="24"/>
          <w:lang w:eastAsia="cs-CZ" w:bidi="cs-CZ"/>
        </w:rPr>
      </w:pPr>
      <w:bookmarkStart w:id="18" w:name="bookmark968"/>
      <w:bookmarkStart w:id="19" w:name="bookmark969"/>
      <w:r w:rsidRPr="00463867">
        <w:rPr>
          <w:rFonts w:ascii="Arial Narrow" w:eastAsia="Times New Roman" w:hAnsi="Arial Narrow" w:cs="Times New Roman"/>
          <w:b/>
          <w:bCs/>
          <w:color w:val="000000"/>
          <w:sz w:val="24"/>
          <w:szCs w:val="24"/>
          <w:lang w:eastAsia="cs-CZ" w:bidi="cs-CZ"/>
        </w:rPr>
        <w:t>TENDENCE VÝVOJE KYBERNETICKÉ KRIMINALITY</w:t>
      </w:r>
      <w:bookmarkEnd w:id="18"/>
      <w:bookmarkEnd w:id="19"/>
    </w:p>
    <w:p w14:paraId="33C722AD"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Ve vývoji kybernetické kriminality lze předpokládat:</w:t>
      </w:r>
    </w:p>
    <w:p w14:paraId="798A1F56" w14:textId="1B0AAC34" w:rsidR="00551321" w:rsidRPr="00645097" w:rsidRDefault="00551321" w:rsidP="00645097">
      <w:pPr>
        <w:pStyle w:val="Odstavecseseznamem"/>
        <w:widowControl w:val="0"/>
        <w:numPr>
          <w:ilvl w:val="0"/>
          <w:numId w:val="20"/>
        </w:numPr>
        <w:spacing w:after="100" w:line="240" w:lineRule="auto"/>
        <w:ind w:left="426" w:hanging="142"/>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že objektem útoku budou v převážné většině nehmotné informace, nikoliv hmotné prostředky informačních systémů a technologií,</w:t>
      </w:r>
    </w:p>
    <w:p w14:paraId="42E113F0" w14:textId="688E4AC5" w:rsidR="00551321" w:rsidRPr="00645097" w:rsidRDefault="00551321" w:rsidP="00645097">
      <w:pPr>
        <w:pStyle w:val="Odstavecseseznamem"/>
        <w:widowControl w:val="0"/>
        <w:numPr>
          <w:ilvl w:val="0"/>
          <w:numId w:val="20"/>
        </w:numPr>
        <w:spacing w:after="100" w:line="240" w:lineRule="auto"/>
        <w:ind w:left="426" w:hanging="142"/>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že útoky na technická zařízení se budou odehrávat zejména na mobilní zařízení a zařízení nedostatečně zabezpečená a připojená do sítě zaměstnavatele,</w:t>
      </w:r>
    </w:p>
    <w:p w14:paraId="4FC6B507" w14:textId="539B24FD" w:rsidR="00551321" w:rsidRPr="00645097" w:rsidRDefault="00551321" w:rsidP="00645097">
      <w:pPr>
        <w:pStyle w:val="Odstavecseseznamem"/>
        <w:widowControl w:val="0"/>
        <w:numPr>
          <w:ilvl w:val="0"/>
          <w:numId w:val="20"/>
        </w:numPr>
        <w:spacing w:after="100" w:line="240" w:lineRule="auto"/>
        <w:ind w:left="426" w:hanging="142"/>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možnost útoků na průmyslové řídicí systémy (ICS) a systémy dispečerského řízení a sběru dat (SCADA) v kritické infrastruktuře,</w:t>
      </w:r>
    </w:p>
    <w:p w14:paraId="151BBB64" w14:textId="7548CA2D" w:rsidR="00551321" w:rsidRPr="00645097" w:rsidRDefault="00551321" w:rsidP="00645097">
      <w:pPr>
        <w:pStyle w:val="Odstavecseseznamem"/>
        <w:widowControl w:val="0"/>
        <w:numPr>
          <w:ilvl w:val="0"/>
          <w:numId w:val="20"/>
        </w:numPr>
        <w:spacing w:after="100" w:line="240" w:lineRule="auto"/>
        <w:ind w:left="426" w:hanging="142"/>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využití všech druhů internetové komunikace, vč. sociálních sítí,</w:t>
      </w:r>
    </w:p>
    <w:p w14:paraId="63F0A9BE" w14:textId="105BA9E2" w:rsidR="00551321" w:rsidRPr="00645097" w:rsidRDefault="00551321" w:rsidP="00645097">
      <w:pPr>
        <w:pStyle w:val="Odstavecseseznamem"/>
        <w:widowControl w:val="0"/>
        <w:numPr>
          <w:ilvl w:val="0"/>
          <w:numId w:val="20"/>
        </w:numPr>
        <w:spacing w:after="100" w:line="240" w:lineRule="auto"/>
        <w:ind w:left="426" w:hanging="142"/>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tupý vandalismus,</w:t>
      </w:r>
    </w:p>
    <w:p w14:paraId="22ACC3A1" w14:textId="1648B520" w:rsidR="00551321" w:rsidRPr="00645097" w:rsidRDefault="00551321" w:rsidP="00645097">
      <w:pPr>
        <w:pStyle w:val="Odstavecseseznamem"/>
        <w:widowControl w:val="0"/>
        <w:numPr>
          <w:ilvl w:val="0"/>
          <w:numId w:val="20"/>
        </w:numPr>
        <w:spacing w:after="100" w:line="240" w:lineRule="auto"/>
        <w:ind w:left="426" w:hanging="142"/>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finanční podvody spojené s kyberprostorem,</w:t>
      </w:r>
    </w:p>
    <w:p w14:paraId="58D9B6A7" w14:textId="791EC348" w:rsidR="00551321" w:rsidRPr="00645097" w:rsidRDefault="00551321" w:rsidP="00645097">
      <w:pPr>
        <w:pStyle w:val="Odstavecseseznamem"/>
        <w:widowControl w:val="0"/>
        <w:numPr>
          <w:ilvl w:val="0"/>
          <w:numId w:val="20"/>
        </w:numPr>
        <w:spacing w:after="100" w:line="240" w:lineRule="auto"/>
        <w:ind w:left="426" w:hanging="142"/>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kriminální jednání vlastních zaměstnanců,</w:t>
      </w:r>
    </w:p>
    <w:p w14:paraId="3341033B" w14:textId="0A67243C" w:rsidR="00551321" w:rsidRPr="00645097" w:rsidRDefault="00551321" w:rsidP="00645097">
      <w:pPr>
        <w:pStyle w:val="Odstavecseseznamem"/>
        <w:widowControl w:val="0"/>
        <w:numPr>
          <w:ilvl w:val="0"/>
          <w:numId w:val="20"/>
        </w:numPr>
        <w:spacing w:after="100" w:line="240" w:lineRule="auto"/>
        <w:ind w:left="426" w:hanging="142"/>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masivní zneužívání Internetu k šíření nepravdivých údajů, a to nejen vůči fyzickým osobám, ale i vůči osobám právnickým,</w:t>
      </w:r>
    </w:p>
    <w:p w14:paraId="6025AAC0" w14:textId="0D3A6237" w:rsidR="00551321" w:rsidRPr="00645097" w:rsidRDefault="00551321" w:rsidP="00645097">
      <w:pPr>
        <w:pStyle w:val="Odstavecseseznamem"/>
        <w:widowControl w:val="0"/>
        <w:numPr>
          <w:ilvl w:val="0"/>
          <w:numId w:val="20"/>
        </w:numPr>
        <w:spacing w:after="100" w:line="240" w:lineRule="auto"/>
        <w:ind w:left="426" w:hanging="142"/>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t>prohloubení střetu mezi anonymitou a ochranou soukromí na Internetu,</w:t>
      </w:r>
    </w:p>
    <w:p w14:paraId="20146A0F" w14:textId="7CB09387" w:rsidR="00551321" w:rsidRPr="00645097" w:rsidRDefault="00551321" w:rsidP="00645097">
      <w:pPr>
        <w:pStyle w:val="Odstavecseseznamem"/>
        <w:widowControl w:val="0"/>
        <w:numPr>
          <w:ilvl w:val="0"/>
          <w:numId w:val="20"/>
        </w:numPr>
        <w:spacing w:after="100" w:line="240" w:lineRule="auto"/>
        <w:ind w:left="426" w:hanging="142"/>
        <w:jc w:val="both"/>
        <w:rPr>
          <w:rFonts w:ascii="Arial Narrow" w:eastAsia="Times New Roman" w:hAnsi="Arial Narrow" w:cs="Times New Roman"/>
          <w:sz w:val="24"/>
          <w:szCs w:val="24"/>
          <w:lang w:eastAsia="cs-CZ" w:bidi="cs-CZ"/>
        </w:rPr>
      </w:pPr>
      <w:r w:rsidRPr="00645097">
        <w:rPr>
          <w:rFonts w:ascii="Arial Narrow" w:eastAsia="Times New Roman" w:hAnsi="Arial Narrow" w:cs="Times New Roman"/>
          <w:color w:val="000000"/>
          <w:sz w:val="24"/>
          <w:szCs w:val="24"/>
          <w:lang w:eastAsia="cs-CZ" w:bidi="cs-CZ"/>
        </w:rPr>
        <w:lastRenderedPageBreak/>
        <w:t>porušování autorských práv,</w:t>
      </w:r>
    </w:p>
    <w:p w14:paraId="4A3580EA" w14:textId="1E539F92" w:rsidR="00551321" w:rsidRPr="00645097" w:rsidRDefault="00551321" w:rsidP="00645097">
      <w:pPr>
        <w:pStyle w:val="Odstavecseseznamem"/>
        <w:widowControl w:val="0"/>
        <w:numPr>
          <w:ilvl w:val="0"/>
          <w:numId w:val="20"/>
        </w:numPr>
        <w:spacing w:after="100" w:line="226" w:lineRule="auto"/>
        <w:ind w:left="426" w:hanging="142"/>
        <w:jc w:val="both"/>
        <w:rPr>
          <w:rFonts w:ascii="Arial Narrow" w:eastAsia="Times New Roman" w:hAnsi="Arial Narrow" w:cs="Times New Roman"/>
          <w:sz w:val="9"/>
          <w:szCs w:val="9"/>
          <w:lang w:eastAsia="cs-CZ" w:bidi="cs-CZ"/>
        </w:rPr>
      </w:pPr>
      <w:r w:rsidRPr="00645097">
        <w:rPr>
          <w:rFonts w:ascii="Arial Narrow" w:eastAsia="Times New Roman" w:hAnsi="Arial Narrow" w:cs="Times New Roman"/>
          <w:color w:val="000000"/>
          <w:sz w:val="24"/>
          <w:szCs w:val="24"/>
          <w:lang w:eastAsia="cs-CZ" w:bidi="cs-CZ"/>
        </w:rPr>
        <w:t>útoky na kritickou informační a komunikační infrastrukturu ze strany cizích států ale i malých skupin osob.</w:t>
      </w:r>
      <w:r w:rsidRPr="00645097">
        <w:rPr>
          <w:rFonts w:eastAsia="Arial" w:cs="Arial"/>
          <w:b/>
          <w:bCs/>
          <w:sz w:val="9"/>
          <w:szCs w:val="9"/>
          <w:lang w:eastAsia="cs-CZ" w:bidi="cs-CZ"/>
        </w:rPr>
        <w:footnoteReference w:id="26"/>
      </w:r>
    </w:p>
    <w:p w14:paraId="019F6515" w14:textId="77777777" w:rsidR="00551321" w:rsidRPr="00463867" w:rsidRDefault="00551321" w:rsidP="00551321">
      <w:pPr>
        <w:widowControl w:val="0"/>
        <w:spacing w:after="100" w:line="240" w:lineRule="auto"/>
        <w:jc w:val="both"/>
        <w:rPr>
          <w:rFonts w:ascii="Arial Narrow" w:eastAsia="Times New Roman" w:hAnsi="Arial Narrow" w:cs="Times New Roman"/>
          <w:sz w:val="9"/>
          <w:szCs w:val="9"/>
          <w:lang w:eastAsia="cs-CZ" w:bidi="cs-CZ"/>
        </w:rPr>
      </w:pPr>
      <w:r w:rsidRPr="00463867">
        <w:rPr>
          <w:rFonts w:ascii="Arial Narrow" w:eastAsia="Times New Roman" w:hAnsi="Arial Narrow" w:cs="Times New Roman"/>
          <w:color w:val="000000"/>
          <w:sz w:val="24"/>
          <w:szCs w:val="24"/>
          <w:lang w:eastAsia="cs-CZ" w:bidi="cs-CZ"/>
        </w:rPr>
        <w:t>Aby byl boj s kyberkriminalitou opravdu úspěšný, je třeba řešit všechny problémy jak v oblasti zákonodárství, tak v oblasti organizační a technické současně. Zákony by měly zahrnovat všechny formy trestního jednání a stanovit dostatečné postihy.</w:t>
      </w:r>
      <w:r w:rsidRPr="00463867">
        <w:rPr>
          <w:rFonts w:ascii="Arial Narrow" w:eastAsia="Arial" w:hAnsi="Arial Narrow" w:cs="Arial"/>
          <w:b/>
          <w:bCs/>
          <w:color w:val="000000"/>
          <w:sz w:val="9"/>
          <w:szCs w:val="9"/>
          <w:vertAlign w:val="superscript"/>
          <w:lang w:eastAsia="cs-CZ" w:bidi="cs-CZ"/>
        </w:rPr>
        <w:footnoteReference w:id="27"/>
      </w:r>
    </w:p>
    <w:p w14:paraId="5AF58276" w14:textId="77777777" w:rsidR="00551321" w:rsidRPr="00463867" w:rsidRDefault="00551321" w:rsidP="00551321">
      <w:pPr>
        <w:widowControl w:val="0"/>
        <w:spacing w:after="10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Prevence je důležitější než represe. V případě bezpečnostního incidentu je Dle Václava Jirovského by měla prevence spočívat především v následujících činnostech:</w:t>
      </w:r>
    </w:p>
    <w:p w14:paraId="179ACCAD" w14:textId="77777777" w:rsidR="00551321" w:rsidRPr="00463867" w:rsidRDefault="00551321" w:rsidP="00551321">
      <w:pPr>
        <w:widowControl w:val="0"/>
        <w:numPr>
          <w:ilvl w:val="0"/>
          <w:numId w:val="23"/>
        </w:numPr>
        <w:tabs>
          <w:tab w:val="left" w:pos="788"/>
        </w:tabs>
        <w:spacing w:after="100" w:line="240" w:lineRule="auto"/>
        <w:ind w:firstLine="4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přijetí opatření, která omezí možnost útoku na počítačový systém,</w:t>
      </w:r>
    </w:p>
    <w:p w14:paraId="28AAC5B1" w14:textId="77777777" w:rsidR="00551321" w:rsidRPr="00463867" w:rsidRDefault="00551321" w:rsidP="00551321">
      <w:pPr>
        <w:widowControl w:val="0"/>
        <w:numPr>
          <w:ilvl w:val="0"/>
          <w:numId w:val="23"/>
        </w:numPr>
        <w:tabs>
          <w:tab w:val="left" w:pos="788"/>
        </w:tabs>
        <w:spacing w:after="100" w:line="240" w:lineRule="auto"/>
        <w:ind w:firstLine="4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testování přijatých opatření,</w:t>
      </w:r>
    </w:p>
    <w:p w14:paraId="3A6EDDA9" w14:textId="77777777" w:rsidR="00551321" w:rsidRPr="00463867" w:rsidRDefault="00551321" w:rsidP="00551321">
      <w:pPr>
        <w:widowControl w:val="0"/>
        <w:numPr>
          <w:ilvl w:val="0"/>
          <w:numId w:val="23"/>
        </w:numPr>
        <w:tabs>
          <w:tab w:val="left" w:pos="788"/>
        </w:tabs>
        <w:spacing w:after="100" w:line="240" w:lineRule="auto"/>
        <w:ind w:left="800" w:hanging="36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detekci průniku nebo počátečních aktivit směřujících k průniku do systému a maximální využití nástrojů, které jsou k tomu určeny. Během detekce takové aktivity je možno ve smyslu prvního kroku přijmout okamžitá opatření vedoucí ke zvýšení bezpečnosti ohrožené části systému nebo eliminaci útočníka.</w:t>
      </w:r>
    </w:p>
    <w:p w14:paraId="4A3A6560" w14:textId="77777777" w:rsidR="00551321" w:rsidRPr="00463867" w:rsidRDefault="00551321" w:rsidP="00645097">
      <w:pPr>
        <w:widowControl w:val="0"/>
        <w:numPr>
          <w:ilvl w:val="0"/>
          <w:numId w:val="23"/>
        </w:numPr>
        <w:tabs>
          <w:tab w:val="left" w:pos="788"/>
        </w:tabs>
        <w:spacing w:after="0" w:line="240" w:lineRule="auto"/>
        <w:ind w:firstLine="442"/>
        <w:jc w:val="both"/>
        <w:rPr>
          <w:rFonts w:ascii="Arial Narrow" w:eastAsia="Times New Roman" w:hAnsi="Arial Narrow" w:cs="Times New Roman"/>
          <w:sz w:val="9"/>
          <w:szCs w:val="9"/>
          <w:lang w:eastAsia="cs-CZ" w:bidi="cs-CZ"/>
        </w:rPr>
      </w:pPr>
      <w:r w:rsidRPr="00463867">
        <w:rPr>
          <w:rFonts w:ascii="Arial Narrow" w:eastAsia="Times New Roman" w:hAnsi="Arial Narrow" w:cs="Times New Roman"/>
          <w:color w:val="000000"/>
          <w:sz w:val="24"/>
          <w:szCs w:val="24"/>
          <w:lang w:eastAsia="cs-CZ" w:bidi="cs-CZ"/>
        </w:rPr>
        <w:t>vyšetřování průniku, shromažďování důkazů a odstraňování vzniklých škod.</w:t>
      </w:r>
      <w:r w:rsidRPr="00463867">
        <w:rPr>
          <w:rFonts w:ascii="Arial Narrow" w:eastAsia="Arial" w:hAnsi="Arial Narrow" w:cs="Arial"/>
          <w:b/>
          <w:bCs/>
          <w:color w:val="000000"/>
          <w:sz w:val="9"/>
          <w:szCs w:val="9"/>
          <w:vertAlign w:val="superscript"/>
          <w:lang w:eastAsia="cs-CZ" w:bidi="cs-CZ"/>
        </w:rPr>
        <w:footnoteReference w:id="28"/>
      </w:r>
    </w:p>
    <w:p w14:paraId="72398538" w14:textId="77777777" w:rsidR="00551321" w:rsidRPr="00463867" w:rsidRDefault="00551321" w:rsidP="00E07E7C">
      <w:pPr>
        <w:keepNext/>
        <w:keepLines/>
        <w:widowControl w:val="0"/>
        <w:spacing w:before="360" w:after="100" w:afterAutospacing="1" w:line="240" w:lineRule="auto"/>
        <w:jc w:val="both"/>
        <w:outlineLvl w:val="4"/>
        <w:rPr>
          <w:rFonts w:ascii="Arial Narrow" w:eastAsia="Times New Roman" w:hAnsi="Arial Narrow" w:cs="Times New Roman"/>
          <w:b/>
          <w:bCs/>
          <w:sz w:val="24"/>
          <w:szCs w:val="24"/>
          <w:lang w:eastAsia="cs-CZ" w:bidi="cs-CZ"/>
        </w:rPr>
      </w:pPr>
      <w:bookmarkStart w:id="20" w:name="bookmark982"/>
      <w:bookmarkStart w:id="21" w:name="bookmark983"/>
      <w:r w:rsidRPr="00463867">
        <w:rPr>
          <w:rFonts w:ascii="Arial Narrow" w:eastAsia="Times New Roman" w:hAnsi="Arial Narrow" w:cs="Times New Roman"/>
          <w:b/>
          <w:bCs/>
          <w:color w:val="000000"/>
          <w:sz w:val="24"/>
          <w:szCs w:val="24"/>
          <w:lang w:eastAsia="cs-CZ" w:bidi="cs-CZ"/>
        </w:rPr>
        <w:t>ZÁVĚR</w:t>
      </w:r>
      <w:bookmarkEnd w:id="20"/>
      <w:bookmarkEnd w:id="21"/>
    </w:p>
    <w:p w14:paraId="23B89A80" w14:textId="77777777" w:rsidR="00551321" w:rsidRPr="00463867" w:rsidRDefault="00551321" w:rsidP="00551321">
      <w:pPr>
        <w:widowControl w:val="0"/>
        <w:spacing w:after="12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Kybernetická kriminalita je neoddělitelnou součástí světa tak, jak je kyberprostor nedílnou a dnes již neoddělitelnou součástí našeho světa. Jeho ochrana proti nelegálním aktivitám (kyberkriminalitě) se musí stát rovněž nedílnou součástí ochrany nejen států, ale i fyzických a právnických osob. Proti kybernetickému nebezpečí lze stejně jako proti jakémukoliv jinému nebezpečí bojovat jednak prevencí a a dále represí. Do oblasti prevence zahrnujeme budování zabezpečených ICT, výchovu k bezpečnosti, základní i aplikovaný výzkum a mezinárodní spolupráci.</w:t>
      </w:r>
    </w:p>
    <w:p w14:paraId="7C0BDC5D" w14:textId="2715758C" w:rsidR="00551321" w:rsidRPr="00463867" w:rsidRDefault="00551321" w:rsidP="00551321">
      <w:pPr>
        <w:widowControl w:val="0"/>
        <w:spacing w:after="12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Trestní právo je sice podstatným nástrojem v boji proti kyberkriminalitě, ale nemělo by být primárním prostředkem ochrany. Podle zásady subsidiarity trestní represe, jak ji vymezila judikatura Ústavního soudu ČR, by měly být nejprve voleny prostředky obrany v řízení ve věcech občanskoprávních, dále v řízení správním a pouze v krajních případech by mělo být přistupováno k trestnímu stíhání. </w:t>
      </w:r>
      <w:r w:rsidR="00645097">
        <w:rPr>
          <w:rFonts w:ascii="Arial Narrow" w:eastAsia="Times New Roman" w:hAnsi="Arial Narrow" w:cs="Times New Roman"/>
          <w:color w:val="000000"/>
          <w:sz w:val="24"/>
          <w:szCs w:val="24"/>
          <w:lang w:eastAsia="cs-CZ" w:bidi="cs-CZ"/>
        </w:rPr>
        <w:t xml:space="preserve">Právní úprava </w:t>
      </w:r>
      <w:r w:rsidRPr="00463867">
        <w:rPr>
          <w:rFonts w:ascii="Arial Narrow" w:eastAsia="Times New Roman" w:hAnsi="Arial Narrow" w:cs="Times New Roman"/>
          <w:color w:val="000000"/>
          <w:sz w:val="24"/>
          <w:szCs w:val="24"/>
          <w:lang w:eastAsia="cs-CZ" w:bidi="cs-CZ"/>
        </w:rPr>
        <w:t>bohužel na kriminální jevy spojené s novými technologiemi reaguje s velkým zpožděním.</w:t>
      </w:r>
    </w:p>
    <w:p w14:paraId="6E11E101" w14:textId="77777777" w:rsidR="00551321" w:rsidRPr="00463867" w:rsidRDefault="00551321" w:rsidP="00551321">
      <w:pPr>
        <w:widowControl w:val="0"/>
        <w:spacing w:after="12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Pro lepší regulaci kyberprostoru je nutné:</w:t>
      </w:r>
    </w:p>
    <w:p w14:paraId="3EF1E211" w14:textId="77777777" w:rsidR="00551321" w:rsidRPr="00463867" w:rsidRDefault="00551321" w:rsidP="00551321">
      <w:pPr>
        <w:widowControl w:val="0"/>
        <w:numPr>
          <w:ilvl w:val="0"/>
          <w:numId w:val="25"/>
        </w:numPr>
        <w:tabs>
          <w:tab w:val="left" w:pos="758"/>
        </w:tabs>
        <w:spacing w:after="0" w:line="240" w:lineRule="auto"/>
        <w:ind w:left="800" w:hanging="34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pokračovat v harmonizaci právní úpravy kyberprostoru, a to nejen v rámci Evropy, ale celosvětově,</w:t>
      </w:r>
    </w:p>
    <w:p w14:paraId="607A8602" w14:textId="77777777" w:rsidR="00551321" w:rsidRPr="00463867" w:rsidRDefault="00551321" w:rsidP="00551321">
      <w:pPr>
        <w:widowControl w:val="0"/>
        <w:numPr>
          <w:ilvl w:val="0"/>
          <w:numId w:val="25"/>
        </w:numPr>
        <w:tabs>
          <w:tab w:val="left" w:pos="758"/>
        </w:tabs>
        <w:spacing w:after="0" w:line="240" w:lineRule="auto"/>
        <w:ind w:left="800" w:hanging="34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zlepšovat spolupráci při vyšetřování kybernetické kriminality mezi státy navzájem a tak zvýšit úspěšnost odhalení pachatelů trestné činnosti v oblasti kyberprostoru,</w:t>
      </w:r>
    </w:p>
    <w:p w14:paraId="5773E0C7" w14:textId="77777777" w:rsidR="00551321" w:rsidRPr="00463867" w:rsidRDefault="00551321" w:rsidP="00551321">
      <w:pPr>
        <w:widowControl w:val="0"/>
        <w:numPr>
          <w:ilvl w:val="0"/>
          <w:numId w:val="25"/>
        </w:numPr>
        <w:tabs>
          <w:tab w:val="left" w:pos="738"/>
        </w:tabs>
        <w:spacing w:after="320" w:line="240" w:lineRule="auto"/>
        <w:ind w:firstLine="440"/>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zefektivnit vymáhání práva v kyberprostoru.</w:t>
      </w:r>
    </w:p>
    <w:p w14:paraId="13831B45" w14:textId="77777777" w:rsidR="00551321" w:rsidRPr="00463867" w:rsidRDefault="00551321" w:rsidP="00551321">
      <w:pPr>
        <w:widowControl w:val="0"/>
        <w:spacing w:after="120" w:line="240" w:lineRule="auto"/>
        <w:jc w:val="both"/>
        <w:rPr>
          <w:rFonts w:ascii="Arial Narrow" w:eastAsia="Times New Roman" w:hAnsi="Arial Narrow" w:cs="Times New Roman"/>
          <w:sz w:val="24"/>
          <w:szCs w:val="24"/>
          <w:lang w:eastAsia="cs-CZ" w:bidi="cs-CZ"/>
        </w:rPr>
      </w:pPr>
      <w:r w:rsidRPr="00463867">
        <w:rPr>
          <w:rFonts w:ascii="Arial Narrow" w:eastAsia="Times New Roman" w:hAnsi="Arial Narrow" w:cs="Times New Roman"/>
          <w:i/>
          <w:iCs/>
          <w:color w:val="000000"/>
          <w:sz w:val="24"/>
          <w:szCs w:val="24"/>
          <w:lang w:eastAsia="cs-CZ" w:bidi="cs-CZ"/>
        </w:rPr>
        <w:t>„Aby byl boj s počítačovou kriminalitou opravdu úspěšný, je třeba řešit všechny problémy jak v oblasti zákonodárství, tak v oblasti organizační a technické současně. Zákony by měly zahrnovat všechny formy trestního jednání a stanovit dostatečné postihy.“</w:t>
      </w:r>
      <w:r w:rsidRPr="00463867">
        <w:rPr>
          <w:rFonts w:ascii="Arial Narrow" w:eastAsia="Times New Roman" w:hAnsi="Arial Narrow" w:cs="Times New Roman"/>
          <w:color w:val="000000"/>
          <w:sz w:val="24"/>
          <w:szCs w:val="24"/>
          <w:vertAlign w:val="superscript"/>
          <w:lang w:eastAsia="cs-CZ" w:bidi="cs-CZ"/>
        </w:rPr>
        <w:footnoteReference w:id="29"/>
      </w:r>
    </w:p>
    <w:p w14:paraId="27B9EBE7" w14:textId="77777777" w:rsidR="00551321" w:rsidRPr="00463867" w:rsidRDefault="00551321" w:rsidP="00FA0086">
      <w:pPr>
        <w:keepNext/>
        <w:keepLines/>
        <w:widowControl w:val="0"/>
        <w:spacing w:after="100" w:afterAutospacing="1" w:line="240" w:lineRule="auto"/>
        <w:jc w:val="both"/>
        <w:outlineLvl w:val="4"/>
        <w:rPr>
          <w:rFonts w:ascii="Arial Narrow" w:eastAsia="Times New Roman" w:hAnsi="Arial Narrow" w:cs="Times New Roman"/>
          <w:b/>
          <w:bCs/>
          <w:sz w:val="24"/>
          <w:szCs w:val="24"/>
          <w:lang w:eastAsia="cs-CZ" w:bidi="cs-CZ"/>
        </w:rPr>
      </w:pPr>
      <w:bookmarkStart w:id="22" w:name="bookmark984"/>
      <w:bookmarkStart w:id="23" w:name="bookmark985"/>
      <w:r w:rsidRPr="00463867">
        <w:rPr>
          <w:rFonts w:ascii="Arial Narrow" w:eastAsia="Times New Roman" w:hAnsi="Arial Narrow" w:cs="Times New Roman"/>
          <w:b/>
          <w:bCs/>
          <w:color w:val="000000"/>
          <w:sz w:val="24"/>
          <w:szCs w:val="24"/>
          <w:lang w:eastAsia="cs-CZ" w:bidi="cs-CZ"/>
        </w:rPr>
        <w:lastRenderedPageBreak/>
        <w:t>Literatura</w:t>
      </w:r>
      <w:r w:rsidRPr="00463867">
        <w:rPr>
          <w:rFonts w:ascii="Arial Narrow" w:eastAsia="Times New Roman" w:hAnsi="Arial Narrow" w:cs="Times New Roman"/>
          <w:color w:val="000000"/>
          <w:sz w:val="24"/>
          <w:szCs w:val="24"/>
          <w:lang w:eastAsia="cs-CZ" w:bidi="cs-CZ"/>
        </w:rPr>
        <w:t>:</w:t>
      </w:r>
      <w:bookmarkEnd w:id="22"/>
      <w:bookmarkEnd w:id="23"/>
    </w:p>
    <w:p w14:paraId="229BBB7C" w14:textId="77777777" w:rsidR="00551321" w:rsidRPr="00463867" w:rsidRDefault="00551321" w:rsidP="00FA0086">
      <w:pPr>
        <w:widowControl w:val="0"/>
        <w:numPr>
          <w:ilvl w:val="0"/>
          <w:numId w:val="26"/>
        </w:numPr>
        <w:tabs>
          <w:tab w:val="left" w:pos="570"/>
        </w:tabs>
        <w:spacing w:after="100" w:line="240" w:lineRule="auto"/>
        <w:ind w:left="580" w:hanging="58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DRAŠTÍK, Antonín a kol., 2015. </w:t>
      </w:r>
      <w:r w:rsidRPr="00463867">
        <w:rPr>
          <w:rFonts w:ascii="Arial Narrow" w:eastAsia="Times New Roman" w:hAnsi="Arial Narrow" w:cs="Times New Roman"/>
          <w:i/>
          <w:iCs/>
          <w:color w:val="000000"/>
          <w:sz w:val="24"/>
          <w:szCs w:val="24"/>
          <w:lang w:eastAsia="cs-CZ" w:bidi="cs-CZ"/>
        </w:rPr>
        <w:t>Trestní zákoník: komentář</w:t>
      </w:r>
      <w:r w:rsidRPr="00463867">
        <w:rPr>
          <w:rFonts w:ascii="Arial Narrow" w:eastAsia="Times New Roman" w:hAnsi="Arial Narrow" w:cs="Times New Roman"/>
          <w:color w:val="000000"/>
          <w:sz w:val="24"/>
          <w:szCs w:val="24"/>
          <w:lang w:eastAsia="cs-CZ" w:bidi="cs-CZ"/>
        </w:rPr>
        <w:t xml:space="preserve">. Praha: Wolters Kluwer, 3264 s. </w:t>
      </w:r>
      <w:r w:rsidRPr="00463867">
        <w:rPr>
          <w:rFonts w:ascii="Arial Narrow" w:eastAsia="Times New Roman" w:hAnsi="Arial Narrow" w:cs="Times New Roman"/>
          <w:color w:val="000000"/>
          <w:sz w:val="24"/>
          <w:szCs w:val="24"/>
          <w:lang w:val="en-US" w:bidi="en-US"/>
        </w:rPr>
        <w:t xml:space="preserve">ISBN </w:t>
      </w:r>
      <w:r w:rsidRPr="00463867">
        <w:rPr>
          <w:rFonts w:ascii="Arial Narrow" w:eastAsia="Times New Roman" w:hAnsi="Arial Narrow" w:cs="Times New Roman"/>
          <w:color w:val="000000"/>
          <w:sz w:val="24"/>
          <w:szCs w:val="24"/>
          <w:lang w:eastAsia="cs-CZ" w:bidi="cs-CZ"/>
        </w:rPr>
        <w:t>978-80-7478-790-4.</w:t>
      </w:r>
    </w:p>
    <w:p w14:paraId="4B745139" w14:textId="77777777" w:rsidR="00551321" w:rsidRPr="00463867" w:rsidRDefault="00551321" w:rsidP="00FA0086">
      <w:pPr>
        <w:widowControl w:val="0"/>
        <w:numPr>
          <w:ilvl w:val="0"/>
          <w:numId w:val="26"/>
        </w:numPr>
        <w:tabs>
          <w:tab w:val="left" w:pos="570"/>
        </w:tabs>
        <w:spacing w:after="100" w:line="240" w:lineRule="auto"/>
        <w:ind w:left="580" w:hanging="58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JELÍNEK, Jiří </w:t>
      </w:r>
      <w:r w:rsidRPr="00463867">
        <w:rPr>
          <w:rFonts w:ascii="Arial Narrow" w:eastAsia="Times New Roman" w:hAnsi="Arial Narrow" w:cs="Times New Roman"/>
          <w:color w:val="000000"/>
          <w:sz w:val="24"/>
          <w:szCs w:val="24"/>
          <w:lang w:val="en-US" w:bidi="en-US"/>
        </w:rPr>
        <w:t xml:space="preserve">a kol., 2009. </w:t>
      </w:r>
      <w:r w:rsidRPr="00463867">
        <w:rPr>
          <w:rFonts w:ascii="Arial Narrow" w:eastAsia="Times New Roman" w:hAnsi="Arial Narrow" w:cs="Times New Roman"/>
          <w:i/>
          <w:iCs/>
          <w:color w:val="000000"/>
          <w:sz w:val="24"/>
          <w:szCs w:val="24"/>
          <w:lang w:eastAsia="cs-CZ" w:bidi="cs-CZ"/>
        </w:rPr>
        <w:t>Trestní právo hmotné</w:t>
      </w:r>
      <w:r w:rsidRPr="00463867">
        <w:rPr>
          <w:rFonts w:ascii="Arial Narrow" w:eastAsia="Times New Roman" w:hAnsi="Arial Narrow" w:cs="Times New Roman"/>
          <w:color w:val="000000"/>
          <w:sz w:val="24"/>
          <w:szCs w:val="24"/>
          <w:lang w:eastAsia="cs-CZ" w:bidi="cs-CZ"/>
        </w:rPr>
        <w:t xml:space="preserve">. </w:t>
      </w:r>
      <w:r w:rsidRPr="00463867">
        <w:rPr>
          <w:rFonts w:ascii="Arial Narrow" w:eastAsia="Times New Roman" w:hAnsi="Arial Narrow" w:cs="Times New Roman"/>
          <w:color w:val="000000"/>
          <w:sz w:val="24"/>
          <w:szCs w:val="24"/>
          <w:lang w:val="en-US" w:bidi="en-US"/>
        </w:rPr>
        <w:t xml:space="preserve">1. </w:t>
      </w:r>
      <w:r w:rsidRPr="00463867">
        <w:rPr>
          <w:rFonts w:ascii="Arial Narrow" w:eastAsia="Times New Roman" w:hAnsi="Arial Narrow" w:cs="Times New Roman"/>
          <w:color w:val="000000"/>
          <w:sz w:val="24"/>
          <w:szCs w:val="24"/>
          <w:lang w:eastAsia="cs-CZ" w:bidi="cs-CZ"/>
        </w:rPr>
        <w:t xml:space="preserve">vydání. </w:t>
      </w:r>
      <w:r w:rsidRPr="00463867">
        <w:rPr>
          <w:rFonts w:ascii="Arial Narrow" w:eastAsia="Times New Roman" w:hAnsi="Arial Narrow" w:cs="Times New Roman"/>
          <w:color w:val="000000"/>
          <w:sz w:val="24"/>
          <w:szCs w:val="24"/>
          <w:lang w:val="en-US" w:bidi="en-US"/>
        </w:rPr>
        <w:t>Praha: Leges, 896 s. ISBN 978-80-87212-24-0.</w:t>
      </w:r>
    </w:p>
    <w:p w14:paraId="485CD4FE" w14:textId="77777777" w:rsidR="00551321" w:rsidRPr="00463867" w:rsidRDefault="00551321" w:rsidP="00FA0086">
      <w:pPr>
        <w:widowControl w:val="0"/>
        <w:numPr>
          <w:ilvl w:val="0"/>
          <w:numId w:val="26"/>
        </w:numPr>
        <w:tabs>
          <w:tab w:val="left" w:pos="570"/>
        </w:tabs>
        <w:spacing w:after="100" w:line="240" w:lineRule="auto"/>
        <w:ind w:left="580" w:hanging="58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JIROVSKÝ, Václav, </w:t>
      </w:r>
      <w:r w:rsidRPr="00463867">
        <w:rPr>
          <w:rFonts w:ascii="Arial Narrow" w:eastAsia="Times New Roman" w:hAnsi="Arial Narrow" w:cs="Times New Roman"/>
          <w:color w:val="000000"/>
          <w:sz w:val="24"/>
          <w:szCs w:val="24"/>
          <w:lang w:val="en-US" w:bidi="en-US"/>
        </w:rPr>
        <w:t xml:space="preserve">2007. </w:t>
      </w:r>
      <w:r w:rsidRPr="00463867">
        <w:rPr>
          <w:rFonts w:ascii="Arial Narrow" w:eastAsia="Times New Roman" w:hAnsi="Arial Narrow" w:cs="Times New Roman"/>
          <w:i/>
          <w:iCs/>
          <w:color w:val="000000"/>
          <w:sz w:val="24"/>
          <w:szCs w:val="24"/>
          <w:lang w:eastAsia="cs-CZ" w:bidi="cs-CZ"/>
        </w:rPr>
        <w:t xml:space="preserve">Kybernetická </w:t>
      </w:r>
      <w:r w:rsidRPr="00463867">
        <w:rPr>
          <w:rFonts w:ascii="Arial Narrow" w:eastAsia="Times New Roman" w:hAnsi="Arial Narrow" w:cs="Times New Roman"/>
          <w:i/>
          <w:iCs/>
          <w:color w:val="000000"/>
          <w:sz w:val="24"/>
          <w:szCs w:val="24"/>
          <w:lang w:val="en-US" w:bidi="en-US"/>
        </w:rPr>
        <w:t xml:space="preserve">kriminalita, nejen o hackingu, crackingu, virech a </w:t>
      </w:r>
      <w:r w:rsidRPr="00463867">
        <w:rPr>
          <w:rFonts w:ascii="Arial Narrow" w:eastAsia="Times New Roman" w:hAnsi="Arial Narrow" w:cs="Times New Roman"/>
          <w:i/>
          <w:iCs/>
          <w:color w:val="000000"/>
          <w:sz w:val="24"/>
          <w:szCs w:val="24"/>
          <w:lang w:eastAsia="cs-CZ" w:bidi="cs-CZ"/>
        </w:rPr>
        <w:t xml:space="preserve">trojských koních </w:t>
      </w:r>
      <w:r w:rsidRPr="00463867">
        <w:rPr>
          <w:rFonts w:ascii="Arial Narrow" w:eastAsia="Times New Roman" w:hAnsi="Arial Narrow" w:cs="Times New Roman"/>
          <w:i/>
          <w:iCs/>
          <w:color w:val="000000"/>
          <w:sz w:val="24"/>
          <w:szCs w:val="24"/>
          <w:lang w:val="en-US" w:bidi="en-US"/>
        </w:rPr>
        <w:t xml:space="preserve">bez </w:t>
      </w:r>
      <w:r w:rsidRPr="00463867">
        <w:rPr>
          <w:rFonts w:ascii="Arial Narrow" w:eastAsia="Times New Roman" w:hAnsi="Arial Narrow" w:cs="Times New Roman"/>
          <w:i/>
          <w:iCs/>
          <w:color w:val="000000"/>
          <w:sz w:val="24"/>
          <w:szCs w:val="24"/>
          <w:lang w:eastAsia="cs-CZ" w:bidi="cs-CZ"/>
        </w:rPr>
        <w:t>tajemství.</w:t>
      </w:r>
      <w:r w:rsidRPr="00463867">
        <w:rPr>
          <w:rFonts w:ascii="Arial Narrow" w:eastAsia="Times New Roman" w:hAnsi="Arial Narrow" w:cs="Times New Roman"/>
          <w:color w:val="000000"/>
          <w:sz w:val="24"/>
          <w:szCs w:val="24"/>
          <w:lang w:eastAsia="cs-CZ" w:bidi="cs-CZ"/>
        </w:rPr>
        <w:t xml:space="preserve"> </w:t>
      </w:r>
      <w:r w:rsidRPr="00463867">
        <w:rPr>
          <w:rFonts w:ascii="Arial Narrow" w:eastAsia="Times New Roman" w:hAnsi="Arial Narrow" w:cs="Times New Roman"/>
          <w:color w:val="000000"/>
          <w:sz w:val="24"/>
          <w:szCs w:val="24"/>
          <w:lang w:val="en-US" w:bidi="en-US"/>
        </w:rPr>
        <w:t xml:space="preserve">Praha: Grada Publishing, a.s., 288 s. ISBN </w:t>
      </w:r>
      <w:r w:rsidRPr="00463867">
        <w:rPr>
          <w:rFonts w:ascii="Arial Narrow" w:eastAsia="Times New Roman" w:hAnsi="Arial Narrow" w:cs="Times New Roman"/>
          <w:color w:val="000000"/>
          <w:sz w:val="24"/>
          <w:szCs w:val="24"/>
          <w:lang w:eastAsia="cs-CZ" w:bidi="cs-CZ"/>
        </w:rPr>
        <w:t>978</w:t>
      </w:r>
      <w:r w:rsidRPr="00463867">
        <w:rPr>
          <w:rFonts w:ascii="Arial Narrow" w:eastAsia="Times New Roman" w:hAnsi="Arial Narrow" w:cs="Times New Roman"/>
          <w:color w:val="000000"/>
          <w:sz w:val="24"/>
          <w:szCs w:val="24"/>
          <w:lang w:eastAsia="cs-CZ" w:bidi="cs-CZ"/>
        </w:rPr>
        <w:softHyphen/>
        <w:t>80-247-1561-2.</w:t>
      </w:r>
    </w:p>
    <w:p w14:paraId="2C63F395" w14:textId="77777777" w:rsidR="00551321" w:rsidRPr="00463867" w:rsidRDefault="00551321" w:rsidP="00FA0086">
      <w:pPr>
        <w:widowControl w:val="0"/>
        <w:numPr>
          <w:ilvl w:val="0"/>
          <w:numId w:val="26"/>
        </w:numPr>
        <w:tabs>
          <w:tab w:val="left" w:pos="570"/>
        </w:tabs>
        <w:spacing w:after="100" w:line="240" w:lineRule="auto"/>
        <w:ind w:left="580" w:hanging="58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GŘIVNA, Tomáš </w:t>
      </w:r>
      <w:r w:rsidRPr="00463867">
        <w:rPr>
          <w:rFonts w:ascii="Arial Narrow" w:eastAsia="Times New Roman" w:hAnsi="Arial Narrow" w:cs="Times New Roman"/>
          <w:color w:val="000000"/>
          <w:sz w:val="24"/>
          <w:szCs w:val="24"/>
          <w:lang w:val="en-US" w:bidi="en-US"/>
        </w:rPr>
        <w:t xml:space="preserve">a kol., 2014. </w:t>
      </w:r>
      <w:r w:rsidRPr="00463867">
        <w:rPr>
          <w:rFonts w:ascii="Arial Narrow" w:eastAsia="Times New Roman" w:hAnsi="Arial Narrow" w:cs="Times New Roman"/>
          <w:i/>
          <w:iCs/>
          <w:color w:val="000000"/>
          <w:sz w:val="24"/>
          <w:szCs w:val="24"/>
          <w:lang w:val="en-US" w:bidi="en-US"/>
        </w:rPr>
        <w:t>Kriminologie</w:t>
      </w:r>
      <w:r w:rsidRPr="00463867">
        <w:rPr>
          <w:rFonts w:ascii="Arial Narrow" w:eastAsia="Times New Roman" w:hAnsi="Arial Narrow" w:cs="Times New Roman"/>
          <w:color w:val="000000"/>
          <w:sz w:val="24"/>
          <w:szCs w:val="24"/>
          <w:lang w:val="en-US" w:bidi="en-US"/>
        </w:rPr>
        <w:t>. Praha: Wolters Kluwer, 530 s. ISBN 97880-7478-614-3.</w:t>
      </w:r>
    </w:p>
    <w:p w14:paraId="118476C5" w14:textId="77777777" w:rsidR="00551321" w:rsidRPr="00463867" w:rsidRDefault="00551321" w:rsidP="00FA0086">
      <w:pPr>
        <w:widowControl w:val="0"/>
        <w:numPr>
          <w:ilvl w:val="0"/>
          <w:numId w:val="26"/>
        </w:numPr>
        <w:tabs>
          <w:tab w:val="left" w:pos="570"/>
        </w:tabs>
        <w:spacing w:after="100" w:line="240" w:lineRule="auto"/>
        <w:ind w:left="580" w:hanging="58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GŘIVNA, Tomáš </w:t>
      </w:r>
      <w:r w:rsidRPr="00463867">
        <w:rPr>
          <w:rFonts w:ascii="Arial Narrow" w:eastAsia="Times New Roman" w:hAnsi="Arial Narrow" w:cs="Times New Roman"/>
          <w:color w:val="000000"/>
          <w:sz w:val="24"/>
          <w:szCs w:val="24"/>
          <w:lang w:val="en-US" w:bidi="en-US"/>
        </w:rPr>
        <w:t xml:space="preserve">a Radim </w:t>
      </w:r>
      <w:r w:rsidRPr="00463867">
        <w:rPr>
          <w:rFonts w:ascii="Arial Narrow" w:eastAsia="Times New Roman" w:hAnsi="Arial Narrow" w:cs="Times New Roman"/>
          <w:color w:val="000000"/>
          <w:sz w:val="24"/>
          <w:szCs w:val="24"/>
          <w:lang w:eastAsia="cs-CZ" w:bidi="cs-CZ"/>
        </w:rPr>
        <w:t xml:space="preserve">POLČÁK, </w:t>
      </w:r>
      <w:r w:rsidRPr="00463867">
        <w:rPr>
          <w:rFonts w:ascii="Arial Narrow" w:eastAsia="Times New Roman" w:hAnsi="Arial Narrow" w:cs="Times New Roman"/>
          <w:color w:val="000000"/>
          <w:sz w:val="24"/>
          <w:szCs w:val="24"/>
          <w:lang w:val="en-US" w:bidi="en-US"/>
        </w:rPr>
        <w:t xml:space="preserve">2008. </w:t>
      </w:r>
      <w:r w:rsidRPr="00463867">
        <w:rPr>
          <w:rFonts w:ascii="Arial Narrow" w:eastAsia="Times New Roman" w:hAnsi="Arial Narrow" w:cs="Times New Roman"/>
          <w:i/>
          <w:iCs/>
          <w:color w:val="000000"/>
          <w:sz w:val="24"/>
          <w:szCs w:val="24"/>
          <w:lang w:val="en-US" w:bidi="en-US"/>
        </w:rPr>
        <w:t xml:space="preserve">Kyberkriminalita a </w:t>
      </w:r>
      <w:r w:rsidRPr="00463867">
        <w:rPr>
          <w:rFonts w:ascii="Arial Narrow" w:eastAsia="Times New Roman" w:hAnsi="Arial Narrow" w:cs="Times New Roman"/>
          <w:i/>
          <w:iCs/>
          <w:color w:val="000000"/>
          <w:sz w:val="24"/>
          <w:szCs w:val="24"/>
          <w:lang w:eastAsia="cs-CZ" w:bidi="cs-CZ"/>
        </w:rPr>
        <w:t>právo</w:t>
      </w:r>
      <w:r w:rsidRPr="00463867">
        <w:rPr>
          <w:rFonts w:ascii="Arial Narrow" w:eastAsia="Times New Roman" w:hAnsi="Arial Narrow" w:cs="Times New Roman"/>
          <w:color w:val="000000"/>
          <w:sz w:val="24"/>
          <w:szCs w:val="24"/>
          <w:lang w:eastAsia="cs-CZ" w:bidi="cs-CZ"/>
        </w:rPr>
        <w:t xml:space="preserve">. </w:t>
      </w:r>
      <w:r w:rsidRPr="00463867">
        <w:rPr>
          <w:rFonts w:ascii="Arial Narrow" w:eastAsia="Times New Roman" w:hAnsi="Arial Narrow" w:cs="Times New Roman"/>
          <w:color w:val="000000"/>
          <w:sz w:val="24"/>
          <w:szCs w:val="24"/>
          <w:lang w:val="en-US" w:bidi="en-US"/>
        </w:rPr>
        <w:t xml:space="preserve">Praha: </w:t>
      </w:r>
      <w:r w:rsidRPr="00463867">
        <w:rPr>
          <w:rFonts w:ascii="Arial Narrow" w:eastAsia="Times New Roman" w:hAnsi="Arial Narrow" w:cs="Times New Roman"/>
          <w:color w:val="000000"/>
          <w:sz w:val="24"/>
          <w:szCs w:val="24"/>
          <w:lang w:eastAsia="cs-CZ" w:bidi="cs-CZ"/>
        </w:rPr>
        <w:t xml:space="preserve">nakladatelství Auditorium, 220 s. </w:t>
      </w:r>
      <w:r w:rsidRPr="00463867">
        <w:rPr>
          <w:rFonts w:ascii="Arial Narrow" w:eastAsia="Times New Roman" w:hAnsi="Arial Narrow" w:cs="Times New Roman"/>
          <w:color w:val="333333"/>
          <w:sz w:val="24"/>
          <w:szCs w:val="24"/>
          <w:lang w:eastAsia="cs-CZ" w:bidi="cs-CZ"/>
        </w:rPr>
        <w:t>ISBN: 978-80-903786-7-4</w:t>
      </w:r>
      <w:r w:rsidRPr="00463867">
        <w:rPr>
          <w:rFonts w:ascii="Arial Narrow" w:eastAsia="Times New Roman" w:hAnsi="Arial Narrow" w:cs="Times New Roman"/>
          <w:color w:val="000000"/>
          <w:sz w:val="24"/>
          <w:szCs w:val="24"/>
          <w:lang w:eastAsia="cs-CZ" w:bidi="cs-CZ"/>
        </w:rPr>
        <w:t>.</w:t>
      </w:r>
    </w:p>
    <w:p w14:paraId="21CD1CAA" w14:textId="77777777" w:rsidR="00551321" w:rsidRPr="00463867" w:rsidRDefault="00551321" w:rsidP="00FA0086">
      <w:pPr>
        <w:widowControl w:val="0"/>
        <w:numPr>
          <w:ilvl w:val="0"/>
          <w:numId w:val="26"/>
        </w:numPr>
        <w:tabs>
          <w:tab w:val="left" w:pos="570"/>
        </w:tabs>
        <w:spacing w:after="100" w:line="240" w:lineRule="auto"/>
        <w:ind w:left="580" w:hanging="58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SMEJKAL, Vladimír, 2015. </w:t>
      </w:r>
      <w:r w:rsidRPr="00463867">
        <w:rPr>
          <w:rFonts w:ascii="Arial Narrow" w:eastAsia="Times New Roman" w:hAnsi="Arial Narrow" w:cs="Times New Roman"/>
          <w:i/>
          <w:iCs/>
          <w:color w:val="000000"/>
          <w:sz w:val="24"/>
          <w:szCs w:val="24"/>
          <w:lang w:eastAsia="cs-CZ" w:bidi="cs-CZ"/>
        </w:rPr>
        <w:t>Kybernetická kriminalita</w:t>
      </w:r>
      <w:r w:rsidRPr="00463867">
        <w:rPr>
          <w:rFonts w:ascii="Arial Narrow" w:eastAsia="Times New Roman" w:hAnsi="Arial Narrow" w:cs="Times New Roman"/>
          <w:color w:val="000000"/>
          <w:sz w:val="24"/>
          <w:szCs w:val="24"/>
          <w:lang w:eastAsia="cs-CZ" w:bidi="cs-CZ"/>
        </w:rPr>
        <w:t>. Plzeň: Vydavatelství a nakladatelství Aleš Čeněk, 220 s. ISBN 978-80-903786-7-4. Čeněk. 636 s. ISBN 978</w:t>
      </w:r>
      <w:r w:rsidRPr="00463867">
        <w:rPr>
          <w:rFonts w:ascii="Arial Narrow" w:eastAsia="Times New Roman" w:hAnsi="Arial Narrow" w:cs="Times New Roman"/>
          <w:color w:val="000000"/>
          <w:sz w:val="24"/>
          <w:szCs w:val="24"/>
          <w:lang w:eastAsia="cs-CZ" w:bidi="cs-CZ"/>
        </w:rPr>
        <w:softHyphen/>
        <w:t>80-7380-501-2.</w:t>
      </w:r>
    </w:p>
    <w:p w14:paraId="54D168F8" w14:textId="77777777" w:rsidR="00551321" w:rsidRPr="00463867" w:rsidRDefault="00551321" w:rsidP="00FA0086">
      <w:pPr>
        <w:widowControl w:val="0"/>
        <w:numPr>
          <w:ilvl w:val="0"/>
          <w:numId w:val="26"/>
        </w:numPr>
        <w:tabs>
          <w:tab w:val="left" w:pos="570"/>
        </w:tabs>
        <w:spacing w:after="100" w:line="240" w:lineRule="auto"/>
        <w:ind w:left="580" w:hanging="58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ŠÁMAL, Pavel a kol., 2009. </w:t>
      </w:r>
      <w:r w:rsidRPr="00463867">
        <w:rPr>
          <w:rFonts w:ascii="Arial Narrow" w:eastAsia="Times New Roman" w:hAnsi="Arial Narrow" w:cs="Times New Roman"/>
          <w:i/>
          <w:iCs/>
          <w:color w:val="000000"/>
          <w:sz w:val="24"/>
          <w:szCs w:val="24"/>
          <w:lang w:eastAsia="cs-CZ" w:bidi="cs-CZ"/>
        </w:rPr>
        <w:t>Trestní zákoník. Edice velké komentáře</w:t>
      </w:r>
      <w:r w:rsidRPr="00463867">
        <w:rPr>
          <w:rFonts w:ascii="Arial Narrow" w:eastAsia="Times New Roman" w:hAnsi="Arial Narrow" w:cs="Times New Roman"/>
          <w:color w:val="000000"/>
          <w:sz w:val="24"/>
          <w:szCs w:val="24"/>
          <w:lang w:eastAsia="cs-CZ" w:bidi="cs-CZ"/>
        </w:rPr>
        <w:t>. Praha: C.H.Beck, 2084 s. ISBN 978-80-7380-501-2.</w:t>
      </w:r>
    </w:p>
    <w:p w14:paraId="00B4C951" w14:textId="77777777" w:rsidR="00551321" w:rsidRPr="00463867" w:rsidRDefault="00551321" w:rsidP="00FA0086">
      <w:pPr>
        <w:widowControl w:val="0"/>
        <w:numPr>
          <w:ilvl w:val="0"/>
          <w:numId w:val="26"/>
        </w:numPr>
        <w:tabs>
          <w:tab w:val="left" w:pos="570"/>
        </w:tabs>
        <w:spacing w:after="100" w:line="240" w:lineRule="auto"/>
        <w:ind w:left="580" w:hanging="58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VLČEK, Martin, 1989. </w:t>
      </w:r>
      <w:r w:rsidRPr="00463867">
        <w:rPr>
          <w:rFonts w:ascii="Arial Narrow" w:eastAsia="Times New Roman" w:hAnsi="Arial Narrow" w:cs="Times New Roman"/>
          <w:i/>
          <w:iCs/>
          <w:color w:val="000000"/>
          <w:sz w:val="24"/>
          <w:szCs w:val="24"/>
          <w:lang w:eastAsia="cs-CZ" w:bidi="cs-CZ"/>
        </w:rPr>
        <w:t>Počítače a kriminalita (trestněprávní a kriminologické aspekty),</w:t>
      </w:r>
      <w:r w:rsidRPr="00463867">
        <w:rPr>
          <w:rFonts w:ascii="Arial Narrow" w:eastAsia="Times New Roman" w:hAnsi="Arial Narrow" w:cs="Times New Roman"/>
          <w:color w:val="000000"/>
          <w:sz w:val="24"/>
          <w:szCs w:val="24"/>
          <w:lang w:eastAsia="cs-CZ" w:bidi="cs-CZ"/>
        </w:rPr>
        <w:t xml:space="preserve"> Praha, Academia, ISBN 978-80-2000-139-5.</w:t>
      </w:r>
    </w:p>
    <w:p w14:paraId="329BC606" w14:textId="77777777" w:rsidR="00551321" w:rsidRPr="00463867" w:rsidRDefault="00551321" w:rsidP="00FA0086">
      <w:pPr>
        <w:widowControl w:val="0"/>
        <w:numPr>
          <w:ilvl w:val="0"/>
          <w:numId w:val="26"/>
        </w:numPr>
        <w:tabs>
          <w:tab w:val="left" w:pos="570"/>
        </w:tabs>
        <w:spacing w:after="100" w:line="240" w:lineRule="auto"/>
        <w:ind w:left="580" w:hanging="58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 xml:space="preserve">ZAVRŠNIK, Aleš, 2017. </w:t>
      </w:r>
      <w:r w:rsidRPr="00463867">
        <w:rPr>
          <w:rFonts w:ascii="Arial Narrow" w:eastAsia="Times New Roman" w:hAnsi="Arial Narrow" w:cs="Times New Roman"/>
          <w:i/>
          <w:iCs/>
          <w:color w:val="000000"/>
          <w:sz w:val="24"/>
          <w:szCs w:val="24"/>
          <w:lang w:eastAsia="cs-CZ" w:bidi="cs-CZ"/>
        </w:rPr>
        <w:t>Kyberkriminalita.</w:t>
      </w:r>
      <w:r w:rsidRPr="00463867">
        <w:rPr>
          <w:rFonts w:ascii="Arial Narrow" w:eastAsia="Times New Roman" w:hAnsi="Arial Narrow" w:cs="Times New Roman"/>
          <w:color w:val="000000"/>
          <w:sz w:val="24"/>
          <w:szCs w:val="24"/>
          <w:lang w:eastAsia="cs-CZ" w:bidi="cs-CZ"/>
        </w:rPr>
        <w:t xml:space="preserve"> Praha: Wolters Kluwer, 148 s. ISBN 97880-7552-755-5.</w:t>
      </w:r>
    </w:p>
    <w:p w14:paraId="1D08A45B" w14:textId="77777777" w:rsidR="00551321" w:rsidRPr="00463867" w:rsidRDefault="00551321" w:rsidP="00FA0086">
      <w:pPr>
        <w:widowControl w:val="0"/>
        <w:numPr>
          <w:ilvl w:val="0"/>
          <w:numId w:val="26"/>
        </w:numPr>
        <w:tabs>
          <w:tab w:val="left" w:pos="570"/>
        </w:tabs>
        <w:spacing w:after="100" w:line="240" w:lineRule="auto"/>
        <w:ind w:left="580" w:hanging="580"/>
        <w:rPr>
          <w:rFonts w:ascii="Arial Narrow" w:eastAsia="Times New Roman" w:hAnsi="Arial Narrow" w:cs="Times New Roman"/>
          <w:sz w:val="24"/>
          <w:szCs w:val="24"/>
          <w:lang w:eastAsia="cs-CZ" w:bidi="cs-CZ"/>
        </w:rPr>
      </w:pPr>
      <w:r w:rsidRPr="00463867">
        <w:rPr>
          <w:rFonts w:ascii="Arial Narrow" w:eastAsia="Times New Roman" w:hAnsi="Arial Narrow" w:cs="Times New Roman"/>
          <w:i/>
          <w:iCs/>
          <w:color w:val="000000"/>
          <w:sz w:val="24"/>
          <w:szCs w:val="24"/>
          <w:lang w:eastAsia="cs-CZ" w:bidi="cs-CZ"/>
        </w:rPr>
        <w:t>Statistické přehledy kriminality za roky 2011 až 2017</w:t>
      </w:r>
      <w:r w:rsidRPr="00463867">
        <w:rPr>
          <w:rFonts w:ascii="Arial Narrow" w:eastAsia="Times New Roman" w:hAnsi="Arial Narrow" w:cs="Times New Roman"/>
          <w:color w:val="000000"/>
          <w:sz w:val="24"/>
          <w:szCs w:val="24"/>
          <w:lang w:eastAsia="cs-CZ" w:bidi="cs-CZ"/>
        </w:rPr>
        <w:t xml:space="preserve"> [cit. 10. 09. 2018]. Dostupné: </w:t>
      </w:r>
      <w:hyperlink r:id="rId12" w:history="1">
        <w:r w:rsidRPr="00463867">
          <w:rPr>
            <w:rFonts w:ascii="Arial Narrow" w:eastAsia="Times New Roman" w:hAnsi="Arial Narrow" w:cs="Times New Roman"/>
            <w:color w:val="000000"/>
            <w:sz w:val="24"/>
            <w:szCs w:val="24"/>
            <w:lang w:eastAsia="cs-CZ" w:bidi="cs-CZ"/>
          </w:rPr>
          <w:t>http://www.policie.cz/clanek/archiv-statistiky-statisticke-prehledy-kriminality.aspx</w:t>
        </w:r>
      </w:hyperlink>
    </w:p>
    <w:p w14:paraId="6F9603AC" w14:textId="77777777" w:rsidR="00551321" w:rsidRPr="00463867" w:rsidRDefault="00551321" w:rsidP="00FA0086">
      <w:pPr>
        <w:widowControl w:val="0"/>
        <w:numPr>
          <w:ilvl w:val="0"/>
          <w:numId w:val="26"/>
        </w:numPr>
        <w:tabs>
          <w:tab w:val="left" w:pos="570"/>
        </w:tabs>
        <w:spacing w:after="100" w:line="240" w:lineRule="auto"/>
        <w:ind w:left="580" w:hanging="58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Zákon č. 40/2009 Sb., trestní zákoník, ve znění pozdějších předpisů. In: ASPI [právní informační systém]. Wolters Kluwer ČR</w:t>
      </w:r>
    </w:p>
    <w:p w14:paraId="6917C00D" w14:textId="77777777" w:rsidR="00551321" w:rsidRPr="00463867" w:rsidRDefault="00551321" w:rsidP="00FA0086">
      <w:pPr>
        <w:widowControl w:val="0"/>
        <w:numPr>
          <w:ilvl w:val="0"/>
          <w:numId w:val="26"/>
        </w:numPr>
        <w:tabs>
          <w:tab w:val="left" w:pos="570"/>
        </w:tabs>
        <w:spacing w:after="100" w:line="240" w:lineRule="auto"/>
        <w:ind w:left="580" w:hanging="58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Zákon č. 181/2014 Sb., o kybernetické bezpečnosti, ve znění pozdějších předpisů. In: ASPI [právní informační systém]. Wolters Kluwer ČR</w:t>
      </w:r>
    </w:p>
    <w:p w14:paraId="4F2F9DCB" w14:textId="77777777" w:rsidR="00551321" w:rsidRPr="00463867" w:rsidRDefault="00551321" w:rsidP="00FA0086">
      <w:pPr>
        <w:widowControl w:val="0"/>
        <w:numPr>
          <w:ilvl w:val="0"/>
          <w:numId w:val="26"/>
        </w:numPr>
        <w:tabs>
          <w:tab w:val="left" w:pos="570"/>
        </w:tabs>
        <w:spacing w:after="100" w:line="240" w:lineRule="auto"/>
        <w:ind w:left="580" w:hanging="58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Zákon č. 218/2003 Sb., o odpovědnosti mládeže za protiprávní činy a o soudnictví ve věcech mládeže a o změně některých zákonů (zákon o soudnictví ve věcech mládeže), ve znění pozdějších předpisů. In: ASPI [právní informační systém]. Wolters Kluwer ČR</w:t>
      </w:r>
    </w:p>
    <w:p w14:paraId="70C5643D" w14:textId="77777777" w:rsidR="00551321" w:rsidRPr="00463867" w:rsidRDefault="00551321" w:rsidP="00FA0086">
      <w:pPr>
        <w:widowControl w:val="0"/>
        <w:numPr>
          <w:ilvl w:val="0"/>
          <w:numId w:val="26"/>
        </w:numPr>
        <w:tabs>
          <w:tab w:val="left" w:pos="570"/>
        </w:tabs>
        <w:spacing w:after="100" w:line="240" w:lineRule="auto"/>
        <w:ind w:left="580" w:hanging="58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Zákon č. 418/2011 Sb, o trestní odpovědnosti právnických osob a řízení proti nim), ve znění pozdějších předpisů. In: ASPI [právní informační systém].Wolters Kluwer ČR</w:t>
      </w:r>
    </w:p>
    <w:p w14:paraId="5FA35CCA" w14:textId="77777777" w:rsidR="00551321" w:rsidRPr="00463867" w:rsidRDefault="00551321" w:rsidP="00FA0086">
      <w:pPr>
        <w:widowControl w:val="0"/>
        <w:numPr>
          <w:ilvl w:val="0"/>
          <w:numId w:val="26"/>
        </w:numPr>
        <w:tabs>
          <w:tab w:val="left" w:pos="570"/>
        </w:tabs>
        <w:spacing w:after="0" w:line="240" w:lineRule="auto"/>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Manuál OSN pro prevenci a kontrolu počítačového zločinu. [online] OSN ©2001. [cit.</w:t>
      </w:r>
    </w:p>
    <w:p w14:paraId="192B8920" w14:textId="77777777" w:rsidR="00551321" w:rsidRPr="00463867" w:rsidRDefault="00551321" w:rsidP="00FA0086">
      <w:pPr>
        <w:widowControl w:val="0"/>
        <w:tabs>
          <w:tab w:val="left" w:pos="4862"/>
          <w:tab w:val="left" w:pos="8879"/>
        </w:tabs>
        <w:spacing w:after="0" w:line="240" w:lineRule="auto"/>
        <w:ind w:firstLine="58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10.09.2018].</w:t>
      </w:r>
      <w:r w:rsidRPr="00463867">
        <w:rPr>
          <w:rFonts w:ascii="Arial Narrow" w:eastAsia="Times New Roman" w:hAnsi="Arial Narrow" w:cs="Times New Roman"/>
          <w:color w:val="000000"/>
          <w:sz w:val="24"/>
          <w:szCs w:val="24"/>
          <w:lang w:eastAsia="cs-CZ" w:bidi="cs-CZ"/>
        </w:rPr>
        <w:tab/>
        <w:t>Dostupné</w:t>
      </w:r>
      <w:r w:rsidRPr="00463867">
        <w:rPr>
          <w:rFonts w:ascii="Arial Narrow" w:eastAsia="Times New Roman" w:hAnsi="Arial Narrow" w:cs="Times New Roman"/>
          <w:color w:val="000000"/>
          <w:sz w:val="24"/>
          <w:szCs w:val="24"/>
          <w:lang w:eastAsia="cs-CZ" w:bidi="cs-CZ"/>
        </w:rPr>
        <w:tab/>
        <w:t>z:</w:t>
      </w:r>
    </w:p>
    <w:p w14:paraId="36385F00" w14:textId="77777777" w:rsidR="00551321" w:rsidRPr="00463867" w:rsidRDefault="00FA0086" w:rsidP="00FA0086">
      <w:pPr>
        <w:widowControl w:val="0"/>
        <w:spacing w:after="100" w:line="240" w:lineRule="auto"/>
        <w:ind w:left="580"/>
        <w:rPr>
          <w:rFonts w:ascii="Arial Narrow" w:eastAsia="Times New Roman" w:hAnsi="Arial Narrow" w:cs="Times New Roman"/>
          <w:sz w:val="24"/>
          <w:szCs w:val="24"/>
          <w:lang w:eastAsia="cs-CZ" w:bidi="cs-CZ"/>
        </w:rPr>
      </w:pPr>
      <w:hyperlink r:id="rId13" w:history="1">
        <w:r w:rsidR="00551321" w:rsidRPr="00463867">
          <w:rPr>
            <w:rFonts w:ascii="Arial Narrow" w:eastAsia="Times New Roman" w:hAnsi="Arial Narrow" w:cs="Times New Roman"/>
            <w:color w:val="000000"/>
            <w:sz w:val="24"/>
            <w:szCs w:val="24"/>
            <w:lang w:eastAsia="cs-CZ" w:bidi="cs-CZ"/>
          </w:rPr>
          <w:t>http://216.55.97.163/wpcontent/themes/bcb/bdf/int_regulations/un/CompCrims_UN_Gu</w:t>
        </w:r>
      </w:hyperlink>
      <w:r w:rsidR="00551321" w:rsidRPr="00463867">
        <w:rPr>
          <w:rFonts w:ascii="Arial Narrow" w:eastAsia="Times New Roman" w:hAnsi="Arial Narrow" w:cs="Times New Roman"/>
          <w:color w:val="000000"/>
          <w:sz w:val="24"/>
          <w:szCs w:val="24"/>
          <w:lang w:eastAsia="cs-CZ" w:bidi="cs-CZ"/>
        </w:rPr>
        <w:t xml:space="preserve"> ide.pdf</w:t>
      </w:r>
    </w:p>
    <w:p w14:paraId="2BA15CB1" w14:textId="42361D1C" w:rsidR="00551321" w:rsidRPr="00463867" w:rsidRDefault="00551321" w:rsidP="00FA0086">
      <w:pPr>
        <w:widowControl w:val="0"/>
        <w:numPr>
          <w:ilvl w:val="0"/>
          <w:numId w:val="26"/>
        </w:numPr>
        <w:tabs>
          <w:tab w:val="left" w:pos="570"/>
        </w:tabs>
        <w:spacing w:after="100" w:line="240" w:lineRule="auto"/>
        <w:ind w:left="580" w:hanging="58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Úmluva o počítačové kriminalitě. In: COE [právní informační systém]. Councilof Europe Treaty office. [</w:t>
      </w:r>
      <w:bookmarkStart w:id="24" w:name="_GoBack"/>
      <w:r w:rsidR="00FA0086">
        <w:rPr>
          <w:rFonts w:ascii="Arial Narrow" w:eastAsia="Times New Roman" w:hAnsi="Arial Narrow" w:cs="Times New Roman"/>
          <w:color w:val="000000"/>
          <w:sz w:val="24"/>
          <w:szCs w:val="24"/>
          <w:lang w:eastAsia="cs-CZ" w:bidi="cs-CZ"/>
        </w:rPr>
        <w:t>cit. 16.07.2020</w:t>
      </w:r>
      <w:bookmarkEnd w:id="24"/>
      <w:r w:rsidRPr="00463867">
        <w:rPr>
          <w:rFonts w:ascii="Arial Narrow" w:eastAsia="Times New Roman" w:hAnsi="Arial Narrow" w:cs="Times New Roman"/>
          <w:color w:val="000000"/>
          <w:sz w:val="24"/>
          <w:szCs w:val="24"/>
          <w:lang w:eastAsia="cs-CZ" w:bidi="cs-CZ"/>
        </w:rPr>
        <w:t xml:space="preserve">]. Dostupné z: </w:t>
      </w:r>
      <w:hyperlink r:id="rId14" w:history="1">
        <w:r w:rsidRPr="00463867">
          <w:rPr>
            <w:rFonts w:ascii="Arial Narrow" w:eastAsia="Times New Roman" w:hAnsi="Arial Narrow" w:cs="Times New Roman"/>
            <w:color w:val="000000"/>
            <w:sz w:val="24"/>
            <w:szCs w:val="24"/>
            <w:lang w:eastAsia="cs-CZ" w:bidi="cs-CZ"/>
          </w:rPr>
          <w:t>https://www.coe.int/en/web/conventions/full-list/-/conventions/rms/0900001680081561</w:t>
        </w:r>
      </w:hyperlink>
    </w:p>
    <w:p w14:paraId="686DB609" w14:textId="0BC11C32" w:rsidR="00551321" w:rsidRPr="00463867" w:rsidRDefault="00551321" w:rsidP="00FA0086">
      <w:pPr>
        <w:widowControl w:val="0"/>
        <w:numPr>
          <w:ilvl w:val="0"/>
          <w:numId w:val="26"/>
        </w:numPr>
        <w:tabs>
          <w:tab w:val="left" w:pos="570"/>
        </w:tabs>
        <w:spacing w:after="100" w:line="240" w:lineRule="auto"/>
        <w:ind w:left="580" w:hanging="58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Dodatkový protokol k Úmluvě o počítačové kriminalitě o kriminalizaci činů rasistické a xenofobní povahy spáchaných prostřednictvím počítačových systémů. In: COE [právní informační systém]. Council of Europe Treaty office [</w:t>
      </w:r>
      <w:r w:rsidR="00FA0086">
        <w:rPr>
          <w:rFonts w:ascii="Arial Narrow" w:eastAsia="Times New Roman" w:hAnsi="Arial Narrow" w:cs="Times New Roman"/>
          <w:color w:val="000000"/>
          <w:sz w:val="24"/>
          <w:szCs w:val="24"/>
          <w:lang w:eastAsia="cs-CZ" w:bidi="cs-CZ"/>
        </w:rPr>
        <w:t>cit. 16.07.2020</w:t>
      </w:r>
      <w:r w:rsidRPr="00463867">
        <w:rPr>
          <w:rFonts w:ascii="Arial Narrow" w:eastAsia="Times New Roman" w:hAnsi="Arial Narrow" w:cs="Times New Roman"/>
          <w:color w:val="000000"/>
          <w:sz w:val="24"/>
          <w:szCs w:val="24"/>
          <w:lang w:eastAsia="cs-CZ" w:bidi="cs-CZ"/>
        </w:rPr>
        <w:t xml:space="preserve">]. Dostupné z: </w:t>
      </w:r>
      <w:hyperlink r:id="rId15" w:history="1">
        <w:r w:rsidRPr="00463867">
          <w:rPr>
            <w:rFonts w:ascii="Arial Narrow" w:eastAsia="Times New Roman" w:hAnsi="Arial Narrow" w:cs="Times New Roman"/>
            <w:color w:val="000000"/>
            <w:sz w:val="24"/>
            <w:szCs w:val="24"/>
            <w:lang w:eastAsia="cs-CZ" w:bidi="cs-CZ"/>
          </w:rPr>
          <w:t>https://www.coe.int/en/web/conventions/full-list/-/conventions/rms/090000168008160f</w:t>
        </w:r>
      </w:hyperlink>
    </w:p>
    <w:p w14:paraId="53ED58E6" w14:textId="2145ABAA" w:rsidR="00551321" w:rsidRPr="00463867" w:rsidRDefault="00551321" w:rsidP="00FA0086">
      <w:pPr>
        <w:widowControl w:val="0"/>
        <w:numPr>
          <w:ilvl w:val="0"/>
          <w:numId w:val="26"/>
        </w:numPr>
        <w:tabs>
          <w:tab w:val="left" w:pos="566"/>
        </w:tabs>
        <w:spacing w:after="100" w:line="240" w:lineRule="auto"/>
        <w:ind w:left="580" w:hanging="580"/>
        <w:rPr>
          <w:rFonts w:ascii="Arial Narrow" w:eastAsia="Times New Roman" w:hAnsi="Arial Narrow" w:cs="Times New Roman"/>
          <w:sz w:val="24"/>
          <w:szCs w:val="24"/>
          <w:lang w:eastAsia="cs-CZ" w:bidi="cs-CZ"/>
        </w:rPr>
      </w:pPr>
      <w:r w:rsidRPr="00463867">
        <w:rPr>
          <w:rFonts w:ascii="Arial Narrow" w:eastAsia="Times New Roman" w:hAnsi="Arial Narrow" w:cs="Times New Roman"/>
          <w:color w:val="000000"/>
          <w:sz w:val="24"/>
          <w:szCs w:val="24"/>
          <w:lang w:eastAsia="cs-CZ" w:bidi="cs-CZ"/>
        </w:rPr>
        <w:t>Talinský manuál mezinárodního práva použitelného na kybernetickou válku, [</w:t>
      </w:r>
      <w:r w:rsidR="00FA0086">
        <w:rPr>
          <w:rFonts w:ascii="Arial Narrow" w:eastAsia="Times New Roman" w:hAnsi="Arial Narrow" w:cs="Times New Roman"/>
          <w:color w:val="000000"/>
          <w:sz w:val="24"/>
          <w:szCs w:val="24"/>
          <w:lang w:eastAsia="cs-CZ" w:bidi="cs-CZ"/>
        </w:rPr>
        <w:t>cit. 16.07.2020</w:t>
      </w:r>
      <w:r w:rsidRPr="00463867">
        <w:rPr>
          <w:rFonts w:ascii="Arial Narrow" w:eastAsia="Times New Roman" w:hAnsi="Arial Narrow" w:cs="Times New Roman"/>
          <w:color w:val="000000"/>
          <w:sz w:val="24"/>
          <w:szCs w:val="24"/>
          <w:lang w:eastAsia="cs-CZ" w:bidi="cs-CZ"/>
        </w:rPr>
        <w:t>]. Dostupné z: http://issuu.com/nato_ccd_coe/docs/tallinnmanual?e=5903855/1802381</w:t>
      </w:r>
    </w:p>
    <w:sectPr w:rsidR="00551321" w:rsidRPr="004638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465C4" w14:textId="77777777" w:rsidR="00645097" w:rsidRDefault="00645097" w:rsidP="00551321">
      <w:pPr>
        <w:spacing w:after="0" w:line="240" w:lineRule="auto"/>
      </w:pPr>
      <w:r>
        <w:separator/>
      </w:r>
    </w:p>
  </w:endnote>
  <w:endnote w:type="continuationSeparator" w:id="0">
    <w:p w14:paraId="0786FB2B" w14:textId="77777777" w:rsidR="00645097" w:rsidRDefault="00645097" w:rsidP="0055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02FA2" w14:textId="77777777" w:rsidR="00645097" w:rsidRDefault="00645097" w:rsidP="00551321">
      <w:pPr>
        <w:spacing w:after="0" w:line="240" w:lineRule="auto"/>
      </w:pPr>
      <w:r>
        <w:separator/>
      </w:r>
    </w:p>
  </w:footnote>
  <w:footnote w:type="continuationSeparator" w:id="0">
    <w:p w14:paraId="6EAC4ACC" w14:textId="77777777" w:rsidR="00645097" w:rsidRDefault="00645097" w:rsidP="00551321">
      <w:pPr>
        <w:spacing w:after="0" w:line="240" w:lineRule="auto"/>
      </w:pPr>
      <w:r>
        <w:continuationSeparator/>
      </w:r>
    </w:p>
  </w:footnote>
  <w:footnote w:id="1">
    <w:p w14:paraId="16F3EA1C" w14:textId="77777777" w:rsidR="00645097" w:rsidRPr="00463867" w:rsidRDefault="00645097" w:rsidP="00551321">
      <w:pPr>
        <w:pStyle w:val="Poznmkapodarou0"/>
        <w:shd w:val="clear" w:color="auto" w:fill="auto"/>
        <w:tabs>
          <w:tab w:val="left" w:pos="120"/>
        </w:tabs>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SMEJKAL, V. a kol. </w:t>
      </w:r>
      <w:r w:rsidRPr="00463867">
        <w:rPr>
          <w:rFonts w:ascii="Arial Narrow" w:hAnsi="Arial Narrow"/>
          <w:i/>
          <w:iCs/>
          <w:color w:val="000000"/>
          <w:lang w:eastAsia="cs-CZ" w:bidi="cs-CZ"/>
        </w:rPr>
        <w:t>Počítačové právo.</w:t>
      </w:r>
      <w:r w:rsidRPr="00463867">
        <w:rPr>
          <w:rFonts w:ascii="Arial Narrow" w:hAnsi="Arial Narrow"/>
          <w:color w:val="000000"/>
          <w:lang w:eastAsia="cs-CZ" w:bidi="cs-CZ"/>
        </w:rPr>
        <w:t xml:space="preserve"> Praha: C.H.Beck,1995, 264 s. ISBN: 80-7049-101-9. s. 99.</w:t>
      </w:r>
    </w:p>
  </w:footnote>
  <w:footnote w:id="2">
    <w:p w14:paraId="2669046C" w14:textId="77777777" w:rsidR="00645097" w:rsidRPr="00463867" w:rsidRDefault="00645097" w:rsidP="00551321">
      <w:pPr>
        <w:pStyle w:val="Poznmkapodarou0"/>
        <w:shd w:val="clear" w:color="auto" w:fill="auto"/>
        <w:tabs>
          <w:tab w:val="left" w:pos="134"/>
        </w:tabs>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VLČEK, M. </w:t>
      </w:r>
      <w:r w:rsidRPr="00463867">
        <w:rPr>
          <w:rFonts w:ascii="Arial Narrow" w:hAnsi="Arial Narrow"/>
          <w:i/>
          <w:iCs/>
          <w:color w:val="000000"/>
          <w:lang w:eastAsia="cs-CZ" w:bidi="cs-CZ"/>
        </w:rPr>
        <w:t>Počítače a kriminalita (trestněprávní a kriminologické aspekty),</w:t>
      </w:r>
      <w:r w:rsidRPr="00463867">
        <w:rPr>
          <w:rFonts w:ascii="Arial Narrow" w:hAnsi="Arial Narrow"/>
          <w:color w:val="000000"/>
          <w:lang w:eastAsia="cs-CZ" w:bidi="cs-CZ"/>
        </w:rPr>
        <w:t xml:space="preserve"> Praha, Academia, 1989, ISBN 8020001395.</w:t>
      </w:r>
    </w:p>
  </w:footnote>
  <w:footnote w:id="3">
    <w:p w14:paraId="25DB6B51" w14:textId="77777777" w:rsidR="00645097" w:rsidRPr="00463867" w:rsidRDefault="00645097" w:rsidP="00551321">
      <w:pPr>
        <w:pStyle w:val="Poznmkapodarou0"/>
        <w:shd w:val="clear" w:color="auto" w:fill="auto"/>
        <w:tabs>
          <w:tab w:val="left" w:pos="139"/>
        </w:tabs>
        <w:jc w:val="both"/>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Viz SMEJKAL, V. </w:t>
      </w:r>
      <w:r w:rsidRPr="00463867">
        <w:rPr>
          <w:rFonts w:ascii="Arial Narrow" w:hAnsi="Arial Narrow"/>
          <w:i/>
          <w:iCs/>
          <w:color w:val="000000"/>
          <w:lang w:eastAsia="cs-CZ" w:bidi="cs-CZ"/>
        </w:rPr>
        <w:t>Kybernetická kriminalita</w:t>
      </w:r>
      <w:r w:rsidRPr="00463867">
        <w:rPr>
          <w:rFonts w:ascii="Arial Narrow" w:hAnsi="Arial Narrow"/>
          <w:color w:val="000000"/>
          <w:lang w:eastAsia="cs-CZ" w:bidi="cs-CZ"/>
        </w:rPr>
        <w:t>. Plzeň: Vydavatelství a nakladatelství Aleš Čeněk, 2015, 636 s. ISBN 978-80-7380-501-2. s. 73.</w:t>
      </w:r>
    </w:p>
  </w:footnote>
  <w:footnote w:id="4">
    <w:p w14:paraId="6DB0D239" w14:textId="77777777" w:rsidR="00645097" w:rsidRPr="00463867" w:rsidRDefault="00645097" w:rsidP="00551321">
      <w:pPr>
        <w:pStyle w:val="Poznmkapodarou0"/>
        <w:shd w:val="clear" w:color="auto" w:fill="auto"/>
        <w:tabs>
          <w:tab w:val="left" w:pos="139"/>
        </w:tabs>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Viz SMEJKAL, V. </w:t>
      </w:r>
      <w:r w:rsidRPr="00463867">
        <w:rPr>
          <w:rFonts w:ascii="Arial Narrow" w:hAnsi="Arial Narrow"/>
          <w:i/>
          <w:iCs/>
          <w:color w:val="000000"/>
          <w:lang w:eastAsia="cs-CZ" w:bidi="cs-CZ"/>
        </w:rPr>
        <w:t>Kybernetická kriminalita</w:t>
      </w:r>
      <w:r w:rsidRPr="00463867">
        <w:rPr>
          <w:rFonts w:ascii="Arial Narrow" w:hAnsi="Arial Narrow"/>
          <w:color w:val="000000"/>
          <w:lang w:eastAsia="cs-CZ" w:bidi="cs-CZ"/>
        </w:rPr>
        <w:t>. Plzeň: Vydavatelství a nakladatelství Aleš Čeněk, 2015, 636 s.</w:t>
      </w:r>
    </w:p>
    <w:p w14:paraId="337DBFB5" w14:textId="77777777" w:rsidR="00645097" w:rsidRPr="00463867" w:rsidRDefault="00645097" w:rsidP="00551321">
      <w:pPr>
        <w:pStyle w:val="Poznmkapodarou0"/>
        <w:shd w:val="clear" w:color="auto" w:fill="auto"/>
        <w:rPr>
          <w:rFonts w:ascii="Arial Narrow" w:hAnsi="Arial Narrow"/>
        </w:rPr>
      </w:pPr>
      <w:r w:rsidRPr="00463867">
        <w:rPr>
          <w:rFonts w:ascii="Arial Narrow" w:hAnsi="Arial Narrow"/>
          <w:color w:val="000000"/>
          <w:lang w:eastAsia="cs-CZ" w:bidi="cs-CZ"/>
        </w:rPr>
        <w:t>ISBN 978-80-7380-501-2. s. 74-75.</w:t>
      </w:r>
    </w:p>
  </w:footnote>
  <w:footnote w:id="5">
    <w:p w14:paraId="7A3044EA" w14:textId="77777777" w:rsidR="00645097" w:rsidRPr="00463867" w:rsidRDefault="00645097" w:rsidP="00551321">
      <w:pPr>
        <w:pStyle w:val="Poznmkapodarou0"/>
        <w:shd w:val="clear" w:color="auto" w:fill="auto"/>
        <w:tabs>
          <w:tab w:val="left" w:pos="139"/>
        </w:tabs>
        <w:jc w:val="both"/>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SMEJKAL, V. </w:t>
      </w:r>
      <w:r w:rsidRPr="00463867">
        <w:rPr>
          <w:rFonts w:ascii="Arial Narrow" w:hAnsi="Arial Narrow"/>
          <w:i/>
          <w:iCs/>
          <w:color w:val="000000"/>
          <w:lang w:eastAsia="cs-CZ" w:bidi="cs-CZ"/>
        </w:rPr>
        <w:t>Kybernetická kriminalita</w:t>
      </w:r>
      <w:r w:rsidRPr="00463867">
        <w:rPr>
          <w:rFonts w:ascii="Arial Narrow" w:hAnsi="Arial Narrow"/>
          <w:color w:val="000000"/>
          <w:lang w:eastAsia="cs-CZ" w:bidi="cs-CZ"/>
        </w:rPr>
        <w:t>. Plzeň: Vydavatelství a nakladatelství Aleš Čeněk, 2015, 636 s. ISBN 978-80-7380-501-2. s. 15.</w:t>
      </w:r>
    </w:p>
  </w:footnote>
  <w:footnote w:id="6">
    <w:p w14:paraId="28D0ADC2" w14:textId="77777777" w:rsidR="00645097" w:rsidRPr="00463867" w:rsidRDefault="00645097" w:rsidP="00551321">
      <w:pPr>
        <w:pStyle w:val="Poznmkapodarou0"/>
        <w:shd w:val="clear" w:color="auto" w:fill="auto"/>
        <w:tabs>
          <w:tab w:val="left" w:pos="125"/>
        </w:tabs>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SMEJKAL, V. a kol. </w:t>
      </w:r>
      <w:r w:rsidRPr="00463867">
        <w:rPr>
          <w:rFonts w:ascii="Arial Narrow" w:hAnsi="Arial Narrow"/>
          <w:i/>
          <w:iCs/>
          <w:color w:val="000000"/>
          <w:lang w:eastAsia="cs-CZ" w:bidi="cs-CZ"/>
        </w:rPr>
        <w:t>Počítačové právo.</w:t>
      </w:r>
      <w:r w:rsidRPr="00463867">
        <w:rPr>
          <w:rFonts w:ascii="Arial Narrow" w:hAnsi="Arial Narrow"/>
          <w:color w:val="000000"/>
          <w:lang w:eastAsia="cs-CZ" w:bidi="cs-CZ"/>
        </w:rPr>
        <w:t xml:space="preserve"> Praha: C.H.Beck,1995, 264 s. ISBN: 80-7049-101-9. s. 220.</w:t>
      </w:r>
    </w:p>
  </w:footnote>
  <w:footnote w:id="7">
    <w:p w14:paraId="68A6C2EA" w14:textId="77777777" w:rsidR="00645097" w:rsidRPr="00463867" w:rsidRDefault="00645097" w:rsidP="00551321">
      <w:pPr>
        <w:pStyle w:val="Poznmkapodarou0"/>
        <w:shd w:val="clear" w:color="auto" w:fill="auto"/>
        <w:tabs>
          <w:tab w:val="left" w:pos="115"/>
        </w:tabs>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Věcný záměr zákona o kybernetické bezpečnosti, 2012, s. 56.</w:t>
      </w:r>
    </w:p>
  </w:footnote>
  <w:footnote w:id="8">
    <w:p w14:paraId="60908A3C" w14:textId="77777777" w:rsidR="00645097" w:rsidRPr="00463867" w:rsidRDefault="00645097" w:rsidP="00551321">
      <w:pPr>
        <w:pStyle w:val="Poznmkapodarou0"/>
        <w:shd w:val="clear" w:color="auto" w:fill="auto"/>
        <w:tabs>
          <w:tab w:val="left" w:pos="115"/>
        </w:tabs>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ZAVRŠNIK, A. </w:t>
      </w:r>
      <w:r w:rsidRPr="00463867">
        <w:rPr>
          <w:rFonts w:ascii="Arial Narrow" w:hAnsi="Arial Narrow"/>
          <w:i/>
          <w:iCs/>
          <w:color w:val="000000"/>
          <w:lang w:eastAsia="cs-CZ" w:bidi="cs-CZ"/>
        </w:rPr>
        <w:t>Kyberkriminalita.</w:t>
      </w:r>
      <w:r w:rsidRPr="00463867">
        <w:rPr>
          <w:rFonts w:ascii="Arial Narrow" w:hAnsi="Arial Narrow"/>
          <w:color w:val="000000"/>
          <w:lang w:eastAsia="cs-CZ" w:bidi="cs-CZ"/>
        </w:rPr>
        <w:t xml:space="preserve"> Praha: Wolters Kluwer, 2017, 148 s. ISBN 97880-7552-755-5. s. 4.</w:t>
      </w:r>
    </w:p>
  </w:footnote>
  <w:footnote w:id="9">
    <w:p w14:paraId="241409F9" w14:textId="77777777" w:rsidR="00645097" w:rsidRPr="00463867" w:rsidRDefault="00645097" w:rsidP="00551321">
      <w:pPr>
        <w:pStyle w:val="Poznmkapodarou0"/>
        <w:shd w:val="clear" w:color="auto" w:fill="auto"/>
        <w:tabs>
          <w:tab w:val="left" w:pos="115"/>
        </w:tabs>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Viz ZAVRŠNIK, A. </w:t>
      </w:r>
      <w:r w:rsidRPr="00463867">
        <w:rPr>
          <w:rFonts w:ascii="Arial Narrow" w:hAnsi="Arial Narrow"/>
          <w:i/>
          <w:iCs/>
          <w:color w:val="000000"/>
          <w:lang w:eastAsia="cs-CZ" w:bidi="cs-CZ"/>
        </w:rPr>
        <w:t>Kyberkriminalita.</w:t>
      </w:r>
      <w:r w:rsidRPr="00463867">
        <w:rPr>
          <w:rFonts w:ascii="Arial Narrow" w:hAnsi="Arial Narrow"/>
          <w:color w:val="000000"/>
          <w:lang w:eastAsia="cs-CZ" w:bidi="cs-CZ"/>
        </w:rPr>
        <w:t xml:space="preserve"> Praha: Wolters Kluwer, 2017, 148 s. ISBN 97880-7552-755-5. s. 4.</w:t>
      </w:r>
    </w:p>
  </w:footnote>
  <w:footnote w:id="10">
    <w:p w14:paraId="2FCF57B2" w14:textId="77777777" w:rsidR="00645097" w:rsidRPr="00463867" w:rsidRDefault="00645097" w:rsidP="00551321">
      <w:pPr>
        <w:pStyle w:val="Poznmkapodarou0"/>
        <w:shd w:val="clear" w:color="auto" w:fill="auto"/>
        <w:tabs>
          <w:tab w:val="left" w:pos="182"/>
        </w:tabs>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GŘIVNA, T. a kol. </w:t>
      </w:r>
      <w:r w:rsidRPr="00463867">
        <w:rPr>
          <w:rFonts w:ascii="Arial Narrow" w:hAnsi="Arial Narrow"/>
          <w:i/>
          <w:iCs/>
          <w:color w:val="000000"/>
          <w:lang w:eastAsia="cs-CZ" w:bidi="cs-CZ"/>
        </w:rPr>
        <w:t>Kriminologie</w:t>
      </w:r>
      <w:r w:rsidRPr="00463867">
        <w:rPr>
          <w:rFonts w:ascii="Arial Narrow" w:hAnsi="Arial Narrow"/>
          <w:color w:val="000000"/>
          <w:lang w:eastAsia="cs-CZ" w:bidi="cs-CZ"/>
        </w:rPr>
        <w:t>. Praha: Wolters Kluwer, 2014. 530 s. ISBN 97880-7478-614-3. s. 336.</w:t>
      </w:r>
    </w:p>
  </w:footnote>
  <w:footnote w:id="11">
    <w:p w14:paraId="40641105" w14:textId="77777777" w:rsidR="00645097" w:rsidRPr="00463867" w:rsidRDefault="00645097" w:rsidP="00551321">
      <w:pPr>
        <w:pStyle w:val="Poznmkapodarou0"/>
        <w:shd w:val="clear" w:color="auto" w:fill="auto"/>
        <w:tabs>
          <w:tab w:val="left" w:pos="182"/>
        </w:tabs>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ZÁVRŠNÍK. A. </w:t>
      </w:r>
      <w:r w:rsidRPr="00463867">
        <w:rPr>
          <w:rFonts w:ascii="Arial Narrow" w:hAnsi="Arial Narrow"/>
          <w:i/>
          <w:iCs/>
          <w:color w:val="000000"/>
          <w:lang w:eastAsia="cs-CZ" w:bidi="cs-CZ"/>
        </w:rPr>
        <w:t>Kyberkriminalita</w:t>
      </w:r>
      <w:r w:rsidRPr="00463867">
        <w:rPr>
          <w:rFonts w:ascii="Arial Narrow" w:hAnsi="Arial Narrow"/>
          <w:color w:val="000000"/>
          <w:lang w:eastAsia="cs-CZ" w:bidi="cs-CZ"/>
        </w:rPr>
        <w:t>. Praha: Wolters Kluwer, 2017.148 s. ISBN 97880-7552-755-5. s. 16</w:t>
      </w:r>
    </w:p>
  </w:footnote>
  <w:footnote w:id="12">
    <w:p w14:paraId="59EDBFFC" w14:textId="77777777" w:rsidR="00645097" w:rsidRPr="00463867" w:rsidRDefault="00645097" w:rsidP="00551321">
      <w:pPr>
        <w:pStyle w:val="Poznmkapodarou0"/>
        <w:shd w:val="clear" w:color="auto" w:fill="auto"/>
        <w:tabs>
          <w:tab w:val="left" w:pos="240"/>
        </w:tabs>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McQUADE, Samuel C. </w:t>
      </w:r>
      <w:r w:rsidRPr="00463867">
        <w:rPr>
          <w:rFonts w:ascii="Arial Narrow" w:hAnsi="Arial Narrow"/>
          <w:i/>
          <w:iCs/>
          <w:color w:val="000000"/>
          <w:lang w:eastAsia="cs-CZ" w:bidi="cs-CZ"/>
        </w:rPr>
        <w:t>Encyclopedia of cybercrime</w:t>
      </w:r>
      <w:r w:rsidRPr="00463867">
        <w:rPr>
          <w:rFonts w:ascii="Arial Narrow" w:hAnsi="Arial Narrow"/>
          <w:color w:val="000000"/>
          <w:lang w:eastAsia="cs-CZ" w:bidi="cs-CZ"/>
        </w:rPr>
        <w:t>. Westport, Conn.: Greenwood Press, 2009. ISBN 0313339740. s. 43.</w:t>
      </w:r>
    </w:p>
  </w:footnote>
  <w:footnote w:id="13">
    <w:p w14:paraId="10EB1837" w14:textId="77777777" w:rsidR="00645097" w:rsidRPr="00463867" w:rsidRDefault="00645097" w:rsidP="00551321">
      <w:pPr>
        <w:pStyle w:val="Poznmkapodarou0"/>
        <w:shd w:val="clear" w:color="auto" w:fill="auto"/>
        <w:tabs>
          <w:tab w:val="left" w:pos="178"/>
        </w:tabs>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r>
      <w:r w:rsidRPr="00463867">
        <w:rPr>
          <w:rFonts w:ascii="Arial Narrow" w:hAnsi="Arial Narrow"/>
          <w:color w:val="222222"/>
          <w:lang w:eastAsia="cs-CZ" w:bidi="cs-CZ"/>
        </w:rPr>
        <w:t>Organizace pro hospodářskou spolupráci a rozvoj</w:t>
      </w:r>
    </w:p>
  </w:footnote>
  <w:footnote w:id="14">
    <w:p w14:paraId="260CBE83" w14:textId="77777777" w:rsidR="00645097" w:rsidRPr="00463867" w:rsidRDefault="00645097" w:rsidP="00551321">
      <w:pPr>
        <w:pStyle w:val="Poznmkapodarou0"/>
        <w:shd w:val="clear" w:color="auto" w:fill="auto"/>
        <w:tabs>
          <w:tab w:val="left" w:pos="182"/>
        </w:tabs>
        <w:jc w:val="both"/>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Viz Úmluva o počítačové kriminalitě. In: COE [právní informační systém]. Council of Europe Tre-aty office. [cit. 10.09.2018]. Dostupné z: </w:t>
      </w:r>
      <w:hyperlink r:id="rId1" w:history="1">
        <w:r w:rsidRPr="00463867">
          <w:rPr>
            <w:rFonts w:ascii="Arial Narrow" w:hAnsi="Arial Narrow"/>
            <w:color w:val="000000"/>
            <w:lang w:eastAsia="cs-CZ" w:bidi="cs-CZ"/>
          </w:rPr>
          <w:t>https://www.coe.int/en/web/conventions/full-list/- /conventions/rms/0900001680081561</w:t>
        </w:r>
      </w:hyperlink>
    </w:p>
  </w:footnote>
  <w:footnote w:id="15">
    <w:p w14:paraId="51F57AD6" w14:textId="77777777" w:rsidR="00645097" w:rsidRPr="00463867" w:rsidRDefault="00645097" w:rsidP="00551321">
      <w:pPr>
        <w:pStyle w:val="Poznmkapodarou0"/>
        <w:shd w:val="clear" w:color="auto" w:fill="auto"/>
        <w:tabs>
          <w:tab w:val="left" w:pos="182"/>
        </w:tabs>
        <w:jc w:val="both"/>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Viz Dodatkový protokol k Úmluvě o počítačové kriminalitě o kriminalizaci činů rasistické a xenofobní povahy spáchaných prostřednictvím počítačových systémů. In: COE [právní informační systém]. Council of Europe Treaty office [cit. 10.09.2018]. Dostupné z: </w:t>
      </w:r>
      <w:hyperlink r:id="rId2" w:history="1">
        <w:r w:rsidRPr="00463867">
          <w:rPr>
            <w:rFonts w:ascii="Arial Narrow" w:hAnsi="Arial Narrow"/>
            <w:color w:val="000000"/>
            <w:lang w:eastAsia="cs-CZ" w:bidi="cs-CZ"/>
          </w:rPr>
          <w:t>https://www.coe.int/en/web/conventions/full-list/- /conventions/rms/090000168008160f</w:t>
        </w:r>
      </w:hyperlink>
    </w:p>
  </w:footnote>
  <w:footnote w:id="16">
    <w:p w14:paraId="51763603" w14:textId="77777777" w:rsidR="00645097" w:rsidRPr="00463867" w:rsidRDefault="00645097" w:rsidP="00551321">
      <w:pPr>
        <w:pStyle w:val="Poznmkapodarou0"/>
        <w:shd w:val="clear" w:color="auto" w:fill="auto"/>
        <w:tabs>
          <w:tab w:val="left" w:pos="206"/>
        </w:tabs>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Talinský manuál mezinárodního práva použitelného na kybernetickou válku. [cit. 10.09.2018]. Dostupné z: http://issuu.com/nato_ccd_coe/docs/tallinnmanual?e=5903855/1802381</w:t>
      </w:r>
    </w:p>
  </w:footnote>
  <w:footnote w:id="17">
    <w:p w14:paraId="3F02FBDD" w14:textId="77777777" w:rsidR="00645097" w:rsidRPr="00463867" w:rsidRDefault="00645097" w:rsidP="00551321">
      <w:pPr>
        <w:pStyle w:val="Poznmkapodarou0"/>
        <w:shd w:val="clear" w:color="auto" w:fill="auto"/>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 xml:space="preserve"> ČR podala žádost o vstup </w:t>
      </w:r>
      <w:r w:rsidRPr="00463867">
        <w:rPr>
          <w:rFonts w:ascii="Arial Narrow" w:eastAsia="Tahoma" w:hAnsi="Arial Narrow" w:cs="Tahoma"/>
          <w:color w:val="000000"/>
          <w:lang w:eastAsia="cs-CZ" w:bidi="cs-CZ"/>
        </w:rPr>
        <w:t>17. ledna 1996, žádosti bylo vyhověno k 1. květnu 2004.</w:t>
      </w:r>
    </w:p>
  </w:footnote>
  <w:footnote w:id="18">
    <w:p w14:paraId="708520E7" w14:textId="77777777" w:rsidR="00645097" w:rsidRPr="00463867" w:rsidRDefault="00645097" w:rsidP="00551321">
      <w:pPr>
        <w:pStyle w:val="Poznmkapodarou0"/>
        <w:shd w:val="clear" w:color="auto" w:fill="auto"/>
        <w:tabs>
          <w:tab w:val="left" w:pos="206"/>
        </w:tabs>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European Commission. </w:t>
      </w:r>
      <w:r w:rsidRPr="00463867">
        <w:rPr>
          <w:rFonts w:ascii="Arial Narrow" w:hAnsi="Arial Narrow"/>
          <w:i/>
          <w:iCs/>
          <w:color w:val="000000"/>
          <w:lang w:eastAsia="cs-CZ" w:bidi="cs-CZ"/>
        </w:rPr>
        <w:t>Digitální agenda pro Evropu: klíčové iniciativy</w:t>
      </w:r>
      <w:r w:rsidRPr="00463867">
        <w:rPr>
          <w:rFonts w:ascii="Arial Narrow" w:hAnsi="Arial Narrow"/>
          <w:color w:val="000000"/>
          <w:lang w:eastAsia="cs-CZ" w:bidi="cs-CZ"/>
        </w:rPr>
        <w:t xml:space="preserve"> (online) © European Union, 1995</w:t>
      </w:r>
      <w:r w:rsidRPr="00463867">
        <w:rPr>
          <w:rFonts w:ascii="Arial Narrow" w:hAnsi="Arial Narrow"/>
          <w:color w:val="000000"/>
          <w:lang w:eastAsia="cs-CZ" w:bidi="cs-CZ"/>
        </w:rPr>
        <w:softHyphen/>
        <w:t xml:space="preserve">2015. [cit. 10.09.2018]. Dostupné z: </w:t>
      </w:r>
      <w:hyperlink r:id="rId3" w:history="1">
        <w:r w:rsidRPr="00463867">
          <w:rPr>
            <w:rFonts w:ascii="Arial Narrow" w:hAnsi="Arial Narrow"/>
            <w:color w:val="000000"/>
            <w:lang w:eastAsia="cs-CZ" w:bidi="cs-CZ"/>
          </w:rPr>
          <w:t>http://europa.eu/rapid/press-release_MEMO-10-200_cs.htm?locale=EN</w:t>
        </w:r>
      </w:hyperlink>
    </w:p>
  </w:footnote>
  <w:footnote w:id="19">
    <w:p w14:paraId="3E4C3308" w14:textId="77777777" w:rsidR="00645097" w:rsidRPr="00463867" w:rsidRDefault="00645097" w:rsidP="00551321">
      <w:pPr>
        <w:pStyle w:val="Poznmkapodarou0"/>
        <w:shd w:val="clear" w:color="auto" w:fill="auto"/>
        <w:tabs>
          <w:tab w:val="left" w:pos="187"/>
        </w:tabs>
        <w:jc w:val="both"/>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ŠÁMAL, P. a kol. </w:t>
      </w:r>
      <w:r w:rsidRPr="00463867">
        <w:rPr>
          <w:rFonts w:ascii="Arial Narrow" w:hAnsi="Arial Narrow"/>
          <w:i/>
          <w:iCs/>
          <w:color w:val="000000"/>
          <w:lang w:eastAsia="cs-CZ" w:bidi="cs-CZ"/>
        </w:rPr>
        <w:t>Trestní zákoník. Edice velké komentáře</w:t>
      </w:r>
      <w:r w:rsidRPr="00463867">
        <w:rPr>
          <w:rFonts w:ascii="Arial Narrow" w:hAnsi="Arial Narrow"/>
          <w:color w:val="000000"/>
          <w:lang w:eastAsia="cs-CZ" w:bidi="cs-CZ"/>
        </w:rPr>
        <w:t>. Praha: C.H.Beck, 2009, ISBN 978-80-7380-501-2. s. 2084.</w:t>
      </w:r>
    </w:p>
  </w:footnote>
  <w:footnote w:id="20">
    <w:p w14:paraId="0C4E9027" w14:textId="77777777" w:rsidR="00645097" w:rsidRPr="00463867" w:rsidRDefault="00645097" w:rsidP="00551321">
      <w:pPr>
        <w:pStyle w:val="Poznmkapodarou0"/>
        <w:shd w:val="clear" w:color="auto" w:fill="auto"/>
        <w:tabs>
          <w:tab w:val="left" w:pos="182"/>
        </w:tabs>
        <w:spacing w:after="120"/>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Úmluva o počítačové kriminalitě. In: COE [právní informační systém]. Council of Europe Tre-aty office. [cit. 10.09.2018]. Dostupné z:</w:t>
      </w:r>
    </w:p>
    <w:p w14:paraId="3CFCDE44" w14:textId="77777777" w:rsidR="00645097" w:rsidRPr="00463867" w:rsidRDefault="00FA0086" w:rsidP="00551321">
      <w:pPr>
        <w:pStyle w:val="Poznmkapodarou0"/>
        <w:shd w:val="clear" w:color="auto" w:fill="auto"/>
        <w:rPr>
          <w:rFonts w:ascii="Arial Narrow" w:hAnsi="Arial Narrow"/>
        </w:rPr>
      </w:pPr>
      <w:hyperlink r:id="rId4" w:history="1">
        <w:r w:rsidR="00645097" w:rsidRPr="00463867">
          <w:rPr>
            <w:rFonts w:ascii="Arial Narrow" w:hAnsi="Arial Narrow"/>
            <w:color w:val="000000"/>
            <w:lang w:eastAsia="cs-CZ" w:bidi="cs-CZ"/>
          </w:rPr>
          <w:t>https://www.coe.int/en/web/conventions/full-list/-conventions/rms/0900001680081561</w:t>
        </w:r>
      </w:hyperlink>
    </w:p>
  </w:footnote>
  <w:footnote w:id="21">
    <w:p w14:paraId="4BE7B616" w14:textId="77777777" w:rsidR="00645097" w:rsidRPr="00463867" w:rsidRDefault="00645097" w:rsidP="00551321">
      <w:pPr>
        <w:pStyle w:val="Poznmkapodarou0"/>
        <w:shd w:val="clear" w:color="auto" w:fill="auto"/>
        <w:tabs>
          <w:tab w:val="left" w:pos="197"/>
        </w:tabs>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DRAŠTÍK, A. a kol. Trestní zákoník: komentář. Praha: Wolters Kluwer, 2015, ISBN 978-80-7478-790-4. s. 1476.</w:t>
      </w:r>
    </w:p>
  </w:footnote>
  <w:footnote w:id="22">
    <w:p w14:paraId="13414C9A" w14:textId="77777777" w:rsidR="00645097" w:rsidRPr="00463867" w:rsidRDefault="00645097" w:rsidP="00551321">
      <w:pPr>
        <w:pStyle w:val="Poznmkapodarou0"/>
        <w:shd w:val="clear" w:color="auto" w:fill="auto"/>
        <w:tabs>
          <w:tab w:val="left" w:pos="187"/>
        </w:tabs>
        <w:spacing w:line="276" w:lineRule="auto"/>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JELÍNEK, J. a kol. </w:t>
      </w:r>
      <w:r w:rsidRPr="00463867">
        <w:rPr>
          <w:rFonts w:ascii="Arial Narrow" w:hAnsi="Arial Narrow"/>
          <w:i/>
          <w:iCs/>
          <w:color w:val="000000"/>
          <w:lang w:eastAsia="cs-CZ" w:bidi="cs-CZ"/>
        </w:rPr>
        <w:t>Trestní právo hmotné</w:t>
      </w:r>
      <w:r w:rsidRPr="00463867">
        <w:rPr>
          <w:rFonts w:ascii="Arial Narrow" w:hAnsi="Arial Narrow"/>
          <w:color w:val="000000"/>
          <w:lang w:eastAsia="cs-CZ" w:bidi="cs-CZ"/>
        </w:rPr>
        <w:t>. 1. vydání. Praha: Leges, 2009, 896 s., ISBN 978-80-87212-24-0. s. 626.</w:t>
      </w:r>
    </w:p>
  </w:footnote>
  <w:footnote w:id="23">
    <w:p w14:paraId="4B2464EB" w14:textId="77777777" w:rsidR="00645097" w:rsidRPr="00463867" w:rsidRDefault="00645097" w:rsidP="00551321">
      <w:pPr>
        <w:pStyle w:val="Poznmkapodarou0"/>
        <w:shd w:val="clear" w:color="auto" w:fill="auto"/>
        <w:tabs>
          <w:tab w:val="left" w:pos="192"/>
        </w:tabs>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ŠÁMAL, P. a kol. </w:t>
      </w:r>
      <w:r w:rsidRPr="00463867">
        <w:rPr>
          <w:rFonts w:ascii="Arial Narrow" w:hAnsi="Arial Narrow"/>
          <w:i/>
          <w:iCs/>
          <w:color w:val="000000"/>
          <w:lang w:eastAsia="cs-CZ" w:bidi="cs-CZ"/>
        </w:rPr>
        <w:t>Trestní zákoník. Edice velké komentáře</w:t>
      </w:r>
      <w:r w:rsidRPr="00463867">
        <w:rPr>
          <w:rFonts w:ascii="Arial Narrow" w:hAnsi="Arial Narrow"/>
          <w:color w:val="000000"/>
          <w:lang w:eastAsia="cs-CZ" w:bidi="cs-CZ"/>
        </w:rPr>
        <w:t>. Praha: C.H.Beck 2009, ISBN 978-80-7380-501-2. s. 2097-98.</w:t>
      </w:r>
    </w:p>
  </w:footnote>
  <w:footnote w:id="24">
    <w:p w14:paraId="4E407552" w14:textId="77777777" w:rsidR="00645097" w:rsidRPr="00463867" w:rsidRDefault="00645097" w:rsidP="00551321">
      <w:pPr>
        <w:pStyle w:val="Poznmkapodarou0"/>
        <w:shd w:val="clear" w:color="auto" w:fill="auto"/>
        <w:tabs>
          <w:tab w:val="left" w:pos="226"/>
        </w:tabs>
        <w:rPr>
          <w:rFonts w:ascii="Arial Narrow" w:hAnsi="Arial Narrow"/>
        </w:rPr>
      </w:pPr>
      <w:r w:rsidRPr="00463867">
        <w:rPr>
          <w:rFonts w:ascii="Arial Narrow" w:eastAsia="Arial" w:hAnsi="Arial Narrow" w:cs="Arial"/>
          <w:b/>
          <w:bCs/>
          <w:color w:val="000000"/>
          <w:vertAlign w:val="superscript"/>
          <w:lang w:eastAsia="cs-CZ" w:bidi="cs-CZ"/>
        </w:rPr>
        <w:footnoteRef/>
      </w:r>
      <w:r w:rsidRPr="00463867">
        <w:rPr>
          <w:rFonts w:ascii="Arial Narrow" w:eastAsia="Arial" w:hAnsi="Arial Narrow" w:cs="Arial"/>
          <w:b/>
          <w:bCs/>
          <w:color w:val="000000"/>
          <w:lang w:eastAsia="cs-CZ" w:bidi="cs-CZ"/>
        </w:rPr>
        <w:tab/>
      </w:r>
      <w:r w:rsidRPr="00463867">
        <w:rPr>
          <w:rFonts w:ascii="Arial Narrow" w:hAnsi="Arial Narrow"/>
          <w:color w:val="000000"/>
          <w:lang w:eastAsia="cs-CZ" w:bidi="cs-CZ"/>
        </w:rPr>
        <w:t>Viz Usnesení Nejvyššího soudu sp. zn. 8 Tdo 137/2013 ze dne 27. 2. 2013</w:t>
      </w:r>
    </w:p>
  </w:footnote>
  <w:footnote w:id="25">
    <w:p w14:paraId="19E19E7D" w14:textId="77777777" w:rsidR="00645097" w:rsidRPr="00463867" w:rsidRDefault="00645097" w:rsidP="00551321">
      <w:pPr>
        <w:pStyle w:val="Poznmkapodarou0"/>
        <w:shd w:val="clear" w:color="auto" w:fill="auto"/>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 xml:space="preserve">Viz SMEJKAL, V. </w:t>
      </w:r>
      <w:r w:rsidRPr="00463867">
        <w:rPr>
          <w:rFonts w:ascii="Arial Narrow" w:hAnsi="Arial Narrow"/>
          <w:i/>
          <w:iCs/>
          <w:color w:val="000000"/>
          <w:lang w:eastAsia="cs-CZ" w:bidi="cs-CZ"/>
        </w:rPr>
        <w:t>Kybernetická kriminalita</w:t>
      </w:r>
      <w:r w:rsidRPr="00463867">
        <w:rPr>
          <w:rFonts w:ascii="Arial Narrow" w:hAnsi="Arial Narrow"/>
          <w:color w:val="000000"/>
          <w:lang w:eastAsia="cs-CZ" w:bidi="cs-CZ"/>
        </w:rPr>
        <w:t>. Plzeň: Vydavatelství a nakladatelství Aleš Čeněk, 2015, 636 s. ISBN 978-80-7380-501-2. s. 93.</w:t>
      </w:r>
    </w:p>
  </w:footnote>
  <w:footnote w:id="26">
    <w:p w14:paraId="7F89D0C3" w14:textId="77777777" w:rsidR="00645097" w:rsidRPr="00463867" w:rsidRDefault="00645097" w:rsidP="00551321">
      <w:pPr>
        <w:pStyle w:val="Poznmkapodarou0"/>
        <w:shd w:val="clear" w:color="auto" w:fill="auto"/>
        <w:tabs>
          <w:tab w:val="left" w:pos="197"/>
        </w:tabs>
        <w:jc w:val="both"/>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Viz SMEJKAL, V. </w:t>
      </w:r>
      <w:r w:rsidRPr="00463867">
        <w:rPr>
          <w:rFonts w:ascii="Arial Narrow" w:hAnsi="Arial Narrow"/>
          <w:i/>
          <w:iCs/>
          <w:color w:val="000000"/>
          <w:lang w:eastAsia="cs-CZ" w:bidi="cs-CZ"/>
        </w:rPr>
        <w:t>Kybernetická kriminalita.</w:t>
      </w:r>
      <w:r w:rsidRPr="00463867">
        <w:rPr>
          <w:rFonts w:ascii="Arial Narrow" w:hAnsi="Arial Narrow"/>
          <w:color w:val="000000"/>
          <w:lang w:eastAsia="cs-CZ" w:bidi="cs-CZ"/>
        </w:rPr>
        <w:t xml:space="preserve"> Plzeň: Vydavatelství a nakladatelství Aleš Čeněk, 2015, 636 s. ISBN 978-80-7380-501-2. s. 571.</w:t>
      </w:r>
    </w:p>
  </w:footnote>
  <w:footnote w:id="27">
    <w:p w14:paraId="651AC13F" w14:textId="77777777" w:rsidR="00645097" w:rsidRPr="00463867" w:rsidRDefault="00645097" w:rsidP="00551321">
      <w:pPr>
        <w:pStyle w:val="Poznmkapodarou0"/>
        <w:shd w:val="clear" w:color="auto" w:fill="auto"/>
        <w:tabs>
          <w:tab w:val="left" w:pos="230"/>
        </w:tabs>
        <w:jc w:val="both"/>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GŘIVNA, T., POLČÁK, R. </w:t>
      </w:r>
      <w:r w:rsidRPr="00463867">
        <w:rPr>
          <w:rFonts w:ascii="Arial Narrow" w:hAnsi="Arial Narrow"/>
          <w:i/>
          <w:iCs/>
          <w:color w:val="000000"/>
          <w:lang w:eastAsia="cs-CZ" w:bidi="cs-CZ"/>
        </w:rPr>
        <w:t>Kyberkriminalita a právo</w:t>
      </w:r>
      <w:r w:rsidRPr="00463867">
        <w:rPr>
          <w:rFonts w:ascii="Arial Narrow" w:hAnsi="Arial Narrow"/>
          <w:color w:val="000000"/>
          <w:lang w:eastAsia="cs-CZ" w:bidi="cs-CZ"/>
        </w:rPr>
        <w:t xml:space="preserve">. Praha: nakladatelství Auditorium, 2008. 220 s. </w:t>
      </w:r>
      <w:r w:rsidRPr="00463867">
        <w:rPr>
          <w:rFonts w:ascii="Arial Narrow" w:hAnsi="Arial Narrow"/>
          <w:color w:val="333333"/>
          <w:lang w:eastAsia="cs-CZ" w:bidi="cs-CZ"/>
        </w:rPr>
        <w:t>ISBN: 978-80-903786-7-4</w:t>
      </w:r>
      <w:r w:rsidRPr="00463867">
        <w:rPr>
          <w:rFonts w:ascii="Arial Narrow" w:hAnsi="Arial Narrow"/>
          <w:color w:val="000000"/>
          <w:lang w:eastAsia="cs-CZ" w:bidi="cs-CZ"/>
        </w:rPr>
        <w:t>. s. 88.</w:t>
      </w:r>
    </w:p>
  </w:footnote>
  <w:footnote w:id="28">
    <w:p w14:paraId="4E748A31" w14:textId="77777777" w:rsidR="00645097" w:rsidRPr="00463867" w:rsidRDefault="00645097" w:rsidP="00551321">
      <w:pPr>
        <w:pStyle w:val="Poznmkapodarou0"/>
        <w:shd w:val="clear" w:color="auto" w:fill="auto"/>
        <w:tabs>
          <w:tab w:val="left" w:pos="211"/>
        </w:tabs>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Viz JIROVSKÝ, V. </w:t>
      </w:r>
      <w:r w:rsidRPr="00463867">
        <w:rPr>
          <w:rFonts w:ascii="Arial Narrow" w:hAnsi="Arial Narrow"/>
          <w:i/>
          <w:iCs/>
          <w:color w:val="000000"/>
          <w:lang w:eastAsia="cs-CZ" w:bidi="cs-CZ"/>
        </w:rPr>
        <w:t>Kybernetická kriminalita: nejen o hackingu, crackingu, virech a trojských koních bez tajemství</w:t>
      </w:r>
      <w:r w:rsidRPr="00463867">
        <w:rPr>
          <w:rFonts w:ascii="Arial Narrow" w:hAnsi="Arial Narrow"/>
          <w:color w:val="000000"/>
          <w:lang w:eastAsia="cs-CZ" w:bidi="cs-CZ"/>
        </w:rPr>
        <w:t>. Praha: Grada Publishing, 2007.</w:t>
      </w:r>
    </w:p>
  </w:footnote>
  <w:footnote w:id="29">
    <w:p w14:paraId="4D78CD3D" w14:textId="77777777" w:rsidR="00645097" w:rsidRPr="00463867" w:rsidRDefault="00645097" w:rsidP="00551321">
      <w:pPr>
        <w:pStyle w:val="Poznmkapodarou0"/>
        <w:shd w:val="clear" w:color="auto" w:fill="auto"/>
        <w:tabs>
          <w:tab w:val="left" w:pos="197"/>
        </w:tabs>
        <w:rPr>
          <w:rFonts w:ascii="Arial Narrow" w:hAnsi="Arial Narrow"/>
        </w:rPr>
      </w:pPr>
      <w:r w:rsidRPr="00463867">
        <w:rPr>
          <w:rFonts w:ascii="Arial Narrow" w:hAnsi="Arial Narrow"/>
          <w:color w:val="000000"/>
          <w:vertAlign w:val="superscript"/>
          <w:lang w:eastAsia="cs-CZ" w:bidi="cs-CZ"/>
        </w:rPr>
        <w:footnoteRef/>
      </w:r>
      <w:r w:rsidRPr="00463867">
        <w:rPr>
          <w:rFonts w:ascii="Arial Narrow" w:hAnsi="Arial Narrow"/>
          <w:color w:val="000000"/>
          <w:lang w:eastAsia="cs-CZ" w:bidi="cs-CZ"/>
        </w:rPr>
        <w:tab/>
        <w:t xml:space="preserve">GŘIVNA, T., POLČÁK, R. </w:t>
      </w:r>
      <w:r w:rsidRPr="00463867">
        <w:rPr>
          <w:rFonts w:ascii="Arial Narrow" w:hAnsi="Arial Narrow"/>
          <w:i/>
          <w:iCs/>
          <w:color w:val="000000"/>
          <w:lang w:eastAsia="cs-CZ" w:bidi="cs-CZ"/>
        </w:rPr>
        <w:t>Kyberkriminalita a právo</w:t>
      </w:r>
      <w:r w:rsidRPr="00463867">
        <w:rPr>
          <w:rFonts w:ascii="Arial Narrow" w:hAnsi="Arial Narrow"/>
          <w:color w:val="000000"/>
          <w:lang w:eastAsia="cs-CZ" w:bidi="cs-CZ"/>
        </w:rPr>
        <w:t>. Praha: nakladatelství Auditorium, 2008, 220 s. ISBN 978-80-903786-7-4. s. 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F8D"/>
    <w:multiLevelType w:val="multilevel"/>
    <w:tmpl w:val="94007112"/>
    <w:lvl w:ilvl="0">
      <w:start w:val="1"/>
      <w:numFmt w:val="bullet"/>
      <w:lvlText w:val="■"/>
      <w:lvlJc w:val="left"/>
      <w:rPr>
        <w:rFonts w:ascii="Times New Roman" w:eastAsia="Times New Roman" w:hAnsi="Times New Roman" w:cs="Times New Roman"/>
        <w:b w:val="0"/>
        <w:bCs w:val="0"/>
        <w:i w:val="0"/>
        <w:iCs w:val="0"/>
        <w:smallCaps w:val="0"/>
        <w:strike w:val="0"/>
        <w:color w:val="FF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D438C"/>
    <w:multiLevelType w:val="hybridMultilevel"/>
    <w:tmpl w:val="42BA6A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4225B8"/>
    <w:multiLevelType w:val="hybridMultilevel"/>
    <w:tmpl w:val="10C6E584"/>
    <w:lvl w:ilvl="0" w:tplc="0405000F">
      <w:start w:val="1"/>
      <w:numFmt w:val="decimal"/>
      <w:lvlText w:val="%1."/>
      <w:lvlJc w:val="left"/>
      <w:pPr>
        <w:ind w:left="720" w:hanging="360"/>
      </w:pPr>
    </w:lvl>
    <w:lvl w:ilvl="1" w:tplc="C0146B9C">
      <w:start w:val="1"/>
      <w:numFmt w:val="lowerLetter"/>
      <w:lvlText w:val="%2)"/>
      <w:lvlJc w:val="left"/>
      <w:pPr>
        <w:ind w:left="1440" w:hanging="360"/>
      </w:pPr>
      <w:rPr>
        <w:rFonts w:hint="default"/>
        <w:color w:val="00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792998"/>
    <w:multiLevelType w:val="hybridMultilevel"/>
    <w:tmpl w:val="D0C0E30E"/>
    <w:lvl w:ilvl="0" w:tplc="0405000F">
      <w:start w:val="1"/>
      <w:numFmt w:val="decimal"/>
      <w:lvlText w:val="%1."/>
      <w:lvlJc w:val="left"/>
      <w:pPr>
        <w:ind w:left="1100" w:hanging="360"/>
      </w:pPr>
    </w:lvl>
    <w:lvl w:ilvl="1" w:tplc="04050019" w:tentative="1">
      <w:start w:val="1"/>
      <w:numFmt w:val="lowerLetter"/>
      <w:lvlText w:val="%2."/>
      <w:lvlJc w:val="left"/>
      <w:pPr>
        <w:ind w:left="1820" w:hanging="360"/>
      </w:pPr>
    </w:lvl>
    <w:lvl w:ilvl="2" w:tplc="0405001B" w:tentative="1">
      <w:start w:val="1"/>
      <w:numFmt w:val="lowerRoman"/>
      <w:lvlText w:val="%3."/>
      <w:lvlJc w:val="right"/>
      <w:pPr>
        <w:ind w:left="2540" w:hanging="180"/>
      </w:pPr>
    </w:lvl>
    <w:lvl w:ilvl="3" w:tplc="0405000F" w:tentative="1">
      <w:start w:val="1"/>
      <w:numFmt w:val="decimal"/>
      <w:lvlText w:val="%4."/>
      <w:lvlJc w:val="left"/>
      <w:pPr>
        <w:ind w:left="3260" w:hanging="360"/>
      </w:pPr>
    </w:lvl>
    <w:lvl w:ilvl="4" w:tplc="04050019" w:tentative="1">
      <w:start w:val="1"/>
      <w:numFmt w:val="lowerLetter"/>
      <w:lvlText w:val="%5."/>
      <w:lvlJc w:val="left"/>
      <w:pPr>
        <w:ind w:left="3980" w:hanging="360"/>
      </w:pPr>
    </w:lvl>
    <w:lvl w:ilvl="5" w:tplc="0405001B" w:tentative="1">
      <w:start w:val="1"/>
      <w:numFmt w:val="lowerRoman"/>
      <w:lvlText w:val="%6."/>
      <w:lvlJc w:val="right"/>
      <w:pPr>
        <w:ind w:left="4700" w:hanging="180"/>
      </w:pPr>
    </w:lvl>
    <w:lvl w:ilvl="6" w:tplc="0405000F" w:tentative="1">
      <w:start w:val="1"/>
      <w:numFmt w:val="decimal"/>
      <w:lvlText w:val="%7."/>
      <w:lvlJc w:val="left"/>
      <w:pPr>
        <w:ind w:left="5420" w:hanging="360"/>
      </w:pPr>
    </w:lvl>
    <w:lvl w:ilvl="7" w:tplc="04050019" w:tentative="1">
      <w:start w:val="1"/>
      <w:numFmt w:val="lowerLetter"/>
      <w:lvlText w:val="%8."/>
      <w:lvlJc w:val="left"/>
      <w:pPr>
        <w:ind w:left="6140" w:hanging="360"/>
      </w:pPr>
    </w:lvl>
    <w:lvl w:ilvl="8" w:tplc="0405001B" w:tentative="1">
      <w:start w:val="1"/>
      <w:numFmt w:val="lowerRoman"/>
      <w:lvlText w:val="%9."/>
      <w:lvlJc w:val="right"/>
      <w:pPr>
        <w:ind w:left="6860" w:hanging="180"/>
      </w:pPr>
    </w:lvl>
  </w:abstractNum>
  <w:abstractNum w:abstractNumId="4" w15:restartNumberingAfterBreak="0">
    <w:nsid w:val="0D563E33"/>
    <w:multiLevelType w:val="multilevel"/>
    <w:tmpl w:val="0D362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Arial Narrow" w:eastAsia="Times New Roman" w:hAnsi="Arial Narrow" w:cs="Times New Roman" w:hint="default"/>
        <w:b/>
        <w:bCs/>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434C61"/>
    <w:multiLevelType w:val="multilevel"/>
    <w:tmpl w:val="E1CC1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673052"/>
    <w:multiLevelType w:val="multilevel"/>
    <w:tmpl w:val="C7A83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7B0979"/>
    <w:multiLevelType w:val="multilevel"/>
    <w:tmpl w:val="5108F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F52AB0"/>
    <w:multiLevelType w:val="multilevel"/>
    <w:tmpl w:val="B324FE42"/>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394CDA"/>
    <w:multiLevelType w:val="hybridMultilevel"/>
    <w:tmpl w:val="45AE7602"/>
    <w:lvl w:ilvl="0" w:tplc="0498B2F8">
      <w:start w:val="1"/>
      <w:numFmt w:val="decimal"/>
      <w:lvlText w:val="%1."/>
      <w:lvlJc w:val="left"/>
      <w:pPr>
        <w:ind w:left="740" w:hanging="360"/>
      </w:pPr>
      <w:rPr>
        <w:rFonts w:hint="default"/>
        <w:color w:val="000000"/>
      </w:rPr>
    </w:lvl>
    <w:lvl w:ilvl="1" w:tplc="04050019" w:tentative="1">
      <w:start w:val="1"/>
      <w:numFmt w:val="lowerLetter"/>
      <w:lvlText w:val="%2."/>
      <w:lvlJc w:val="left"/>
      <w:pPr>
        <w:ind w:left="1460" w:hanging="360"/>
      </w:pPr>
    </w:lvl>
    <w:lvl w:ilvl="2" w:tplc="0405001B" w:tentative="1">
      <w:start w:val="1"/>
      <w:numFmt w:val="lowerRoman"/>
      <w:lvlText w:val="%3."/>
      <w:lvlJc w:val="right"/>
      <w:pPr>
        <w:ind w:left="2180" w:hanging="180"/>
      </w:pPr>
    </w:lvl>
    <w:lvl w:ilvl="3" w:tplc="0405000F" w:tentative="1">
      <w:start w:val="1"/>
      <w:numFmt w:val="decimal"/>
      <w:lvlText w:val="%4."/>
      <w:lvlJc w:val="left"/>
      <w:pPr>
        <w:ind w:left="2900" w:hanging="360"/>
      </w:pPr>
    </w:lvl>
    <w:lvl w:ilvl="4" w:tplc="04050019" w:tentative="1">
      <w:start w:val="1"/>
      <w:numFmt w:val="lowerLetter"/>
      <w:lvlText w:val="%5."/>
      <w:lvlJc w:val="left"/>
      <w:pPr>
        <w:ind w:left="3620" w:hanging="360"/>
      </w:pPr>
    </w:lvl>
    <w:lvl w:ilvl="5" w:tplc="0405001B" w:tentative="1">
      <w:start w:val="1"/>
      <w:numFmt w:val="lowerRoman"/>
      <w:lvlText w:val="%6."/>
      <w:lvlJc w:val="right"/>
      <w:pPr>
        <w:ind w:left="4340" w:hanging="180"/>
      </w:pPr>
    </w:lvl>
    <w:lvl w:ilvl="6" w:tplc="0405000F" w:tentative="1">
      <w:start w:val="1"/>
      <w:numFmt w:val="decimal"/>
      <w:lvlText w:val="%7."/>
      <w:lvlJc w:val="left"/>
      <w:pPr>
        <w:ind w:left="5060" w:hanging="360"/>
      </w:pPr>
    </w:lvl>
    <w:lvl w:ilvl="7" w:tplc="04050019" w:tentative="1">
      <w:start w:val="1"/>
      <w:numFmt w:val="lowerLetter"/>
      <w:lvlText w:val="%8."/>
      <w:lvlJc w:val="left"/>
      <w:pPr>
        <w:ind w:left="5780" w:hanging="360"/>
      </w:pPr>
    </w:lvl>
    <w:lvl w:ilvl="8" w:tplc="0405001B" w:tentative="1">
      <w:start w:val="1"/>
      <w:numFmt w:val="lowerRoman"/>
      <w:lvlText w:val="%9."/>
      <w:lvlJc w:val="right"/>
      <w:pPr>
        <w:ind w:left="6500" w:hanging="180"/>
      </w:pPr>
    </w:lvl>
  </w:abstractNum>
  <w:abstractNum w:abstractNumId="10" w15:restartNumberingAfterBreak="0">
    <w:nsid w:val="1F6A565E"/>
    <w:multiLevelType w:val="multilevel"/>
    <w:tmpl w:val="8B6E7166"/>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8028BD"/>
    <w:multiLevelType w:val="multilevel"/>
    <w:tmpl w:val="7EE816D6"/>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066120"/>
    <w:multiLevelType w:val="multilevel"/>
    <w:tmpl w:val="8ECA47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7E3AE4"/>
    <w:multiLevelType w:val="multilevel"/>
    <w:tmpl w:val="E2A2E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FA7CAE"/>
    <w:multiLevelType w:val="multilevel"/>
    <w:tmpl w:val="C1C4F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C0345B"/>
    <w:multiLevelType w:val="multilevel"/>
    <w:tmpl w:val="6A7A2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EF7D0A"/>
    <w:multiLevelType w:val="multilevel"/>
    <w:tmpl w:val="C6C4F14A"/>
    <w:lvl w:ilvl="0">
      <w:start w:val="4"/>
      <w:numFmt w:val="decimal"/>
      <w:lvlText w:val="%1."/>
      <w:lvlJc w:val="left"/>
      <w:rPr>
        <w:rFonts w:ascii="Arial Narrow" w:eastAsia="Times New Roman" w:hAnsi="Arial Narrow" w:cs="Times New Roman" w:hint="default"/>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912FC0"/>
    <w:multiLevelType w:val="multilevel"/>
    <w:tmpl w:val="32985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9B3BF7"/>
    <w:multiLevelType w:val="multilevel"/>
    <w:tmpl w:val="5782AA64"/>
    <w:lvl w:ilvl="0">
      <w:start w:val="1"/>
      <w:numFmt w:val="lowerLetter"/>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103627"/>
    <w:multiLevelType w:val="multilevel"/>
    <w:tmpl w:val="58F4E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0E59C4"/>
    <w:multiLevelType w:val="hybridMultilevel"/>
    <w:tmpl w:val="E9B0B41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F052D4"/>
    <w:multiLevelType w:val="multilevel"/>
    <w:tmpl w:val="926E22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710C8A"/>
    <w:multiLevelType w:val="hybridMultilevel"/>
    <w:tmpl w:val="525C04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771F46"/>
    <w:multiLevelType w:val="hybridMultilevel"/>
    <w:tmpl w:val="ECF8A1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AF7BEA"/>
    <w:multiLevelType w:val="multilevel"/>
    <w:tmpl w:val="1AAA7482"/>
    <w:lvl w:ilvl="0">
      <w:start w:val="1"/>
      <w:numFmt w:val="decimal"/>
      <w:lvlText w:val="%1."/>
      <w:lvlJc w:val="left"/>
      <w:rPr>
        <w:rFonts w:ascii="Arial Narrow" w:eastAsia="Times New Roman" w:hAnsi="Arial Narrow" w:cs="Times New Roman" w:hint="default"/>
        <w:b w:val="0"/>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820E13"/>
    <w:multiLevelType w:val="hybridMultilevel"/>
    <w:tmpl w:val="688AC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891758"/>
    <w:multiLevelType w:val="multilevel"/>
    <w:tmpl w:val="71B46F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C02996"/>
    <w:multiLevelType w:val="multilevel"/>
    <w:tmpl w:val="1A42D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3D3EC4"/>
    <w:multiLevelType w:val="multilevel"/>
    <w:tmpl w:val="42647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7847B1"/>
    <w:multiLevelType w:val="multilevel"/>
    <w:tmpl w:val="F530D4BC"/>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0A2B8B"/>
    <w:multiLevelType w:val="multilevel"/>
    <w:tmpl w:val="8ECA47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C96401"/>
    <w:multiLevelType w:val="multilevel"/>
    <w:tmpl w:val="6F8850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2D5802"/>
    <w:multiLevelType w:val="multilevel"/>
    <w:tmpl w:val="FE28E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F50ECC"/>
    <w:multiLevelType w:val="multilevel"/>
    <w:tmpl w:val="BB4E3234"/>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045D10"/>
    <w:multiLevelType w:val="multilevel"/>
    <w:tmpl w:val="022E0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5A0173"/>
    <w:multiLevelType w:val="multilevel"/>
    <w:tmpl w:val="247CF276"/>
    <w:lvl w:ilvl="0">
      <w:start w:val="1"/>
      <w:numFmt w:val="lowerLetter"/>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AB6848"/>
    <w:multiLevelType w:val="multilevel"/>
    <w:tmpl w:val="DEF8607A"/>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1"/>
  </w:num>
  <w:num w:numId="3">
    <w:abstractNumId w:val="29"/>
  </w:num>
  <w:num w:numId="4">
    <w:abstractNumId w:val="21"/>
  </w:num>
  <w:num w:numId="5">
    <w:abstractNumId w:val="17"/>
  </w:num>
  <w:num w:numId="6">
    <w:abstractNumId w:val="7"/>
  </w:num>
  <w:num w:numId="7">
    <w:abstractNumId w:val="13"/>
  </w:num>
  <w:num w:numId="8">
    <w:abstractNumId w:val="19"/>
  </w:num>
  <w:num w:numId="9">
    <w:abstractNumId w:val="34"/>
  </w:num>
  <w:num w:numId="10">
    <w:abstractNumId w:val="15"/>
  </w:num>
  <w:num w:numId="11">
    <w:abstractNumId w:val="28"/>
  </w:num>
  <w:num w:numId="12">
    <w:abstractNumId w:val="4"/>
  </w:num>
  <w:num w:numId="13">
    <w:abstractNumId w:val="8"/>
  </w:num>
  <w:num w:numId="14">
    <w:abstractNumId w:val="35"/>
  </w:num>
  <w:num w:numId="15">
    <w:abstractNumId w:val="18"/>
  </w:num>
  <w:num w:numId="16">
    <w:abstractNumId w:val="30"/>
  </w:num>
  <w:num w:numId="17">
    <w:abstractNumId w:val="14"/>
  </w:num>
  <w:num w:numId="18">
    <w:abstractNumId w:val="26"/>
  </w:num>
  <w:num w:numId="19">
    <w:abstractNumId w:val="6"/>
  </w:num>
  <w:num w:numId="20">
    <w:abstractNumId w:val="27"/>
  </w:num>
  <w:num w:numId="21">
    <w:abstractNumId w:val="5"/>
  </w:num>
  <w:num w:numId="22">
    <w:abstractNumId w:val="16"/>
  </w:num>
  <w:num w:numId="23">
    <w:abstractNumId w:val="24"/>
  </w:num>
  <w:num w:numId="24">
    <w:abstractNumId w:val="0"/>
  </w:num>
  <w:num w:numId="25">
    <w:abstractNumId w:val="11"/>
  </w:num>
  <w:num w:numId="26">
    <w:abstractNumId w:val="10"/>
  </w:num>
  <w:num w:numId="27">
    <w:abstractNumId w:val="3"/>
  </w:num>
  <w:num w:numId="28">
    <w:abstractNumId w:val="9"/>
  </w:num>
  <w:num w:numId="29">
    <w:abstractNumId w:val="12"/>
  </w:num>
  <w:num w:numId="30">
    <w:abstractNumId w:val="2"/>
  </w:num>
  <w:num w:numId="31">
    <w:abstractNumId w:val="23"/>
  </w:num>
  <w:num w:numId="32">
    <w:abstractNumId w:val="20"/>
  </w:num>
  <w:num w:numId="33">
    <w:abstractNumId w:val="36"/>
  </w:num>
  <w:num w:numId="34">
    <w:abstractNumId w:val="22"/>
  </w:num>
  <w:num w:numId="35">
    <w:abstractNumId w:val="1"/>
  </w:num>
  <w:num w:numId="36">
    <w:abstractNumId w:val="3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21"/>
    <w:rsid w:val="00463867"/>
    <w:rsid w:val="00551321"/>
    <w:rsid w:val="00645097"/>
    <w:rsid w:val="006D5619"/>
    <w:rsid w:val="00713E56"/>
    <w:rsid w:val="00E07E7C"/>
    <w:rsid w:val="00FA00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5D9E"/>
  <w15:chartTrackingRefBased/>
  <w15:docId w15:val="{A0678C35-99C7-4E2B-AA9E-03D94CA1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sid w:val="00551321"/>
    <w:rPr>
      <w:rFonts w:ascii="Times New Roman" w:eastAsia="Times New Roman" w:hAnsi="Times New Roman" w:cs="Times New Roman"/>
      <w:sz w:val="20"/>
      <w:szCs w:val="20"/>
      <w:shd w:val="clear" w:color="auto" w:fill="FFFFFF"/>
    </w:rPr>
  </w:style>
  <w:style w:type="character" w:customStyle="1" w:styleId="Titulekobrzku">
    <w:name w:val="Titulek obrázku_"/>
    <w:basedOn w:val="Standardnpsmoodstavce"/>
    <w:link w:val="Titulekobrzku0"/>
    <w:rsid w:val="00551321"/>
    <w:rPr>
      <w:rFonts w:ascii="Times New Roman" w:eastAsia="Times New Roman" w:hAnsi="Times New Roman" w:cs="Times New Roman"/>
      <w:i/>
      <w:iCs/>
      <w:sz w:val="20"/>
      <w:szCs w:val="20"/>
      <w:shd w:val="clear" w:color="auto" w:fill="FFFFFF"/>
    </w:rPr>
  </w:style>
  <w:style w:type="paragraph" w:customStyle="1" w:styleId="Poznmkapodarou0">
    <w:name w:val="Poznámka pod čarou"/>
    <w:basedOn w:val="Normln"/>
    <w:link w:val="Poznmkapodarou"/>
    <w:rsid w:val="00551321"/>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Titulekobrzku0">
    <w:name w:val="Titulek obrázku"/>
    <w:basedOn w:val="Normln"/>
    <w:link w:val="Titulekobrzku"/>
    <w:rsid w:val="00551321"/>
    <w:pPr>
      <w:widowControl w:val="0"/>
      <w:shd w:val="clear" w:color="auto" w:fill="FFFFFF"/>
      <w:spacing w:after="0" w:line="240" w:lineRule="auto"/>
    </w:pPr>
    <w:rPr>
      <w:rFonts w:ascii="Times New Roman" w:eastAsia="Times New Roman" w:hAnsi="Times New Roman" w:cs="Times New Roman"/>
      <w:i/>
      <w:iCs/>
      <w:sz w:val="20"/>
      <w:szCs w:val="20"/>
    </w:rPr>
  </w:style>
  <w:style w:type="paragraph" w:styleId="Odstavecseseznamem">
    <w:name w:val="List Paragraph"/>
    <w:basedOn w:val="Normln"/>
    <w:uiPriority w:val="34"/>
    <w:qFormat/>
    <w:rsid w:val="00645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216.55.97.163/wpcontent/themes/bcb/bdf/int_regulations/un/CompCrims_UN_G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icie.cz/clanek/archiv-statistiky-statisticke-prehledy-kriminality.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s.wikipedia.org/w/index.php?title=%C3%9Amluva_Rady_Evropy_o_kyberkriminalit%C4%9B&amp;action=edit&amp;redlink=1" TargetMode="External"/><Relationship Id="rId5" Type="http://schemas.openxmlformats.org/officeDocument/2006/relationships/styles" Target="styles.xml"/><Relationship Id="rId15" Type="http://schemas.openxmlformats.org/officeDocument/2006/relationships/hyperlink" Target="https://www.coe.int/en/web/conventions/full-list/-/conventions/rms/090000168008160f" TargetMode="External"/><Relationship Id="rId10" Type="http://schemas.openxmlformats.org/officeDocument/2006/relationships/hyperlink" Target="https://cs.wikipedia.org/w/index.php?title=%C3%9Amluva_Rady_Evropy_o_kyberkriminalit%C4%9B&amp;action=edit&amp;redlink=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e.int/en/web/conventions/full-list/-/conventions/rms/090000168008156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MEMO-10-200_cs.htm?locale=EN" TargetMode="External"/><Relationship Id="rId2" Type="http://schemas.openxmlformats.org/officeDocument/2006/relationships/hyperlink" Target="https://www.coe.int/en/web/conventions/full-list/-/conventions/rms/090000168008160f" TargetMode="External"/><Relationship Id="rId1" Type="http://schemas.openxmlformats.org/officeDocument/2006/relationships/hyperlink" Target="https://www.coe.int/en/web/conventions/full-list/-/conventions/rms/0900001680081561" TargetMode="External"/><Relationship Id="rId4" Type="http://schemas.openxmlformats.org/officeDocument/2006/relationships/hyperlink" Target="https://www.coe.int/en/web/conventions/full-list/-conventions/rms/090000168008156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1DE5E4D8B904D40A7BC147D57719BC9" ma:contentTypeVersion="10" ma:contentTypeDescription="Vytvoří nový dokument" ma:contentTypeScope="" ma:versionID="62e3c92a4a200d5dff9bebe66818ba62">
  <xsd:schema xmlns:xsd="http://www.w3.org/2001/XMLSchema" xmlns:xs="http://www.w3.org/2001/XMLSchema" xmlns:p="http://schemas.microsoft.com/office/2006/metadata/properties" xmlns:ns3="e1e97b98-a0c2-4562-aba8-198a7edf1164" targetNamespace="http://schemas.microsoft.com/office/2006/metadata/properties" ma:root="true" ma:fieldsID="36f9cee0ab1e034f4a2bcc3b95269068" ns3:_="">
    <xsd:import namespace="e1e97b98-a0c2-4562-aba8-198a7edf11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97b98-a0c2-4562-aba8-198a7edf11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13174-7149-4D13-881F-E53671099F7C}">
  <ds:schemaRefs>
    <ds:schemaRef ds:uri="http://schemas.microsoft.com/sharepoint/v3/contenttype/forms"/>
  </ds:schemaRefs>
</ds:datastoreItem>
</file>

<file path=customXml/itemProps2.xml><?xml version="1.0" encoding="utf-8"?>
<ds:datastoreItem xmlns:ds="http://schemas.openxmlformats.org/officeDocument/2006/customXml" ds:itemID="{903A53DD-DD9C-4E97-AC5E-6855EE71D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97b98-a0c2-4562-aba8-198a7edf1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B8BE5-59BB-4E28-9F81-39B5178A7ED8}">
  <ds:schemaRefs>
    <ds:schemaRef ds:uri="http://purl.org/dc/terms/"/>
    <ds:schemaRef ds:uri="e1e97b98-a0c2-4562-aba8-198a7edf1164"/>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5097</Words>
  <Characters>30077</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Skoruša Leopold</dc:creator>
  <cp:keywords/>
  <dc:description/>
  <cp:lastModifiedBy>Skoruša Leopold</cp:lastModifiedBy>
  <cp:revision>5</cp:revision>
  <dcterms:created xsi:type="dcterms:W3CDTF">2020-07-12T11:36:00Z</dcterms:created>
  <dcterms:modified xsi:type="dcterms:W3CDTF">2020-07-17T08:19:00Z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0x010100E1DE5E4D8B904D40A7BC147D57719BC9</vt:lpwstr>
  </property>
</Properties>
</file>